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jc w:val="center"/>
        <w:outlineLvl w:val="1"/>
        <w:rPr>
          <w:rFonts w:cs="Arial" w:asciiTheme="majorEastAsia" w:hAnsiTheme="majorEastAsia" w:eastAsiaTheme="majorEastAsia"/>
          <w:b/>
          <w:bCs/>
          <w:color w:val="333333"/>
          <w:sz w:val="44"/>
          <w:szCs w:val="44"/>
        </w:rPr>
      </w:pPr>
      <w:r>
        <w:rPr>
          <w:rFonts w:cs="Arial" w:asciiTheme="majorEastAsia" w:hAnsiTheme="majorEastAsia" w:eastAsiaTheme="majorEastAsia"/>
          <w:b/>
          <w:bCs/>
          <w:color w:val="333333"/>
          <w:sz w:val="44"/>
          <w:szCs w:val="44"/>
        </w:rPr>
        <w:t>青岛市生态环境局</w:t>
      </w:r>
      <w:r>
        <w:rPr>
          <w:rFonts w:hint="eastAsia" w:cs="Arial" w:asciiTheme="majorEastAsia" w:hAnsiTheme="majorEastAsia" w:eastAsiaTheme="majorEastAsia"/>
          <w:b/>
          <w:bCs/>
          <w:color w:val="333333"/>
          <w:sz w:val="44"/>
          <w:szCs w:val="44"/>
        </w:rPr>
        <w:t>即墨</w:t>
      </w:r>
      <w:r>
        <w:rPr>
          <w:rFonts w:cs="Arial" w:asciiTheme="majorEastAsia" w:hAnsiTheme="majorEastAsia" w:eastAsiaTheme="majorEastAsia"/>
          <w:b/>
          <w:bCs/>
          <w:color w:val="333333"/>
          <w:sz w:val="44"/>
          <w:szCs w:val="44"/>
        </w:rPr>
        <w:t>分局“双随机、一公开”监管随机抽查事项清单</w:t>
      </w:r>
    </w:p>
    <w:p>
      <w:pPr>
        <w:shd w:val="clear" w:color="auto" w:fill="FFFFFF"/>
        <w:adjustRightInd/>
        <w:snapToGrid/>
        <w:spacing w:after="0" w:line="600" w:lineRule="atLeast"/>
        <w:jc w:val="center"/>
        <w:rPr>
          <w:rFonts w:ascii="Arial" w:hAnsi="Arial" w:eastAsia="宋体" w:cs="Arial"/>
          <w:color w:val="333333"/>
          <w:sz w:val="24"/>
          <w:szCs w:val="24"/>
        </w:rPr>
      </w:pPr>
      <w:r>
        <w:rPr>
          <w:rFonts w:hint="eastAsia" w:ascii="方正小标宋简体" w:hAnsi="Arial" w:eastAsia="方正小标宋简体" w:cs="Arial"/>
          <w:b/>
          <w:bCs/>
          <w:color w:val="333333"/>
          <w:sz w:val="44"/>
        </w:rPr>
        <w:t>“双随机、一公开”监管随机抽查事项清单</w:t>
      </w:r>
    </w:p>
    <w:tbl>
      <w:tblPr>
        <w:tblStyle w:val="6"/>
        <w:tblW w:w="1295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06"/>
        <w:gridCol w:w="756"/>
        <w:gridCol w:w="757"/>
        <w:gridCol w:w="773"/>
        <w:gridCol w:w="1206"/>
        <w:gridCol w:w="724"/>
        <w:gridCol w:w="652"/>
        <w:gridCol w:w="1166"/>
        <w:gridCol w:w="528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CellSpacing w:w="0" w:type="dxa"/>
        </w:trPr>
        <w:tc>
          <w:tcPr>
            <w:tcW w:w="5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序号</w:t>
            </w:r>
          </w:p>
        </w:tc>
        <w:tc>
          <w:tcPr>
            <w:tcW w:w="756" w:type="dxa"/>
            <w:shd w:val="clear" w:color="auto" w:fill="FFFFFF"/>
            <w:vAlign w:val="center"/>
          </w:tcPr>
          <w:p>
            <w:pPr>
              <w:adjustRightInd/>
              <w:snapToGrid/>
              <w:spacing w:after="0" w:line="300" w:lineRule="atLeast"/>
              <w:jc w:val="center"/>
              <w:rPr>
                <w:rFonts w:ascii="黑体" w:hAnsi="Arial" w:eastAsia="黑体" w:cs="Arial"/>
                <w:color w:val="333333"/>
                <w:sz w:val="21"/>
                <w:szCs w:val="21"/>
              </w:rPr>
            </w:pPr>
            <w:r>
              <w:rPr>
                <w:rFonts w:hint="eastAsia" w:ascii="黑体" w:hAnsi="Arial" w:eastAsia="黑体" w:cs="Arial"/>
                <w:color w:val="333333"/>
                <w:sz w:val="21"/>
                <w:szCs w:val="21"/>
              </w:rPr>
              <w:t>检查部门及实施</w:t>
            </w:r>
          </w:p>
          <w:p>
            <w:pPr>
              <w:adjustRightInd/>
              <w:snapToGrid/>
              <w:spacing w:after="0" w:line="300" w:lineRule="atLeast"/>
              <w:jc w:val="center"/>
              <w:rPr>
                <w:rFonts w:cs="Arial" w:asciiTheme="minorEastAsia" w:hAnsiTheme="minorEastAsia" w:eastAsiaTheme="minorEastAsia"/>
                <w:color w:val="333333"/>
                <w:sz w:val="24"/>
                <w:szCs w:val="24"/>
              </w:rPr>
            </w:pPr>
            <w:r>
              <w:rPr>
                <w:rFonts w:hint="eastAsia" w:ascii="黑体" w:hAnsi="Arial" w:eastAsia="黑体" w:cs="Arial"/>
                <w:color w:val="333333"/>
                <w:sz w:val="21"/>
                <w:szCs w:val="21"/>
              </w:rPr>
              <w:t>层级</w:t>
            </w:r>
          </w:p>
        </w:tc>
        <w:tc>
          <w:tcPr>
            <w:tcW w:w="757"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抽查事项</w:t>
            </w:r>
          </w:p>
        </w:tc>
        <w:tc>
          <w:tcPr>
            <w:tcW w:w="773"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检查对象</w:t>
            </w:r>
          </w:p>
        </w:tc>
        <w:tc>
          <w:tcPr>
            <w:tcW w:w="12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抽查内容</w:t>
            </w:r>
          </w:p>
        </w:tc>
        <w:tc>
          <w:tcPr>
            <w:tcW w:w="724"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事项</w:t>
            </w:r>
          </w:p>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类别</w:t>
            </w:r>
          </w:p>
        </w:tc>
        <w:tc>
          <w:tcPr>
            <w:tcW w:w="652"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检查</w:t>
            </w:r>
          </w:p>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方式</w:t>
            </w:r>
          </w:p>
        </w:tc>
        <w:tc>
          <w:tcPr>
            <w:tcW w:w="116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bookmarkStart w:id="0" w:name="_GoBack"/>
            <w:r>
              <w:rPr>
                <w:rFonts w:hint="eastAsia" w:ascii="黑体" w:hAnsi="Arial" w:eastAsia="黑体" w:cs="Arial"/>
                <w:color w:val="333333"/>
                <w:sz w:val="21"/>
                <w:szCs w:val="21"/>
              </w:rPr>
              <w:t>抽查比例</w:t>
            </w:r>
          </w:p>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及频次</w:t>
            </w:r>
            <w:bookmarkEnd w:id="0"/>
          </w:p>
        </w:tc>
        <w:tc>
          <w:tcPr>
            <w:tcW w:w="5282"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检查依据</w:t>
            </w:r>
          </w:p>
        </w:tc>
        <w:tc>
          <w:tcPr>
            <w:tcW w:w="1134"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CellSpacing w:w="0" w:type="dxa"/>
        </w:trPr>
        <w:tc>
          <w:tcPr>
            <w:tcW w:w="5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1</w:t>
            </w:r>
          </w:p>
        </w:tc>
        <w:tc>
          <w:tcPr>
            <w:tcW w:w="756" w:type="dxa"/>
            <w:shd w:val="clear" w:color="auto" w:fill="FFFFFF"/>
            <w:vAlign w:val="center"/>
          </w:tcPr>
          <w:p>
            <w:pPr>
              <w:adjustRightInd/>
              <w:snapToGrid/>
              <w:spacing w:after="0" w:line="300" w:lineRule="atLeast"/>
              <w:jc w:val="center"/>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18"/>
                <w:szCs w:val="18"/>
                <w:shd w:val="clear" w:color="auto" w:fill="FFFFFF"/>
              </w:rPr>
              <w:t>市、区（市）生态环境部门</w:t>
            </w:r>
          </w:p>
        </w:tc>
        <w:tc>
          <w:tcPr>
            <w:tcW w:w="757"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污染源日常环境执法检查</w:t>
            </w:r>
          </w:p>
        </w:tc>
        <w:tc>
          <w:tcPr>
            <w:tcW w:w="773"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排放污染物的企业事业单位和其他生产经营者</w:t>
            </w:r>
          </w:p>
        </w:tc>
        <w:tc>
          <w:tcPr>
            <w:tcW w:w="12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排污许可制执行情况，执行环评和“三同时”制度情况，污染治理设施运行情况，主要污染物排放情况，环境风险防范和环境安全隐患排查治理工作情况，投保环责险情况</w:t>
            </w:r>
          </w:p>
        </w:tc>
        <w:tc>
          <w:tcPr>
            <w:tcW w:w="724"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一般检查事项</w:t>
            </w:r>
          </w:p>
        </w:tc>
        <w:tc>
          <w:tcPr>
            <w:tcW w:w="652"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现场检查</w:t>
            </w:r>
          </w:p>
        </w:tc>
        <w:tc>
          <w:tcPr>
            <w:tcW w:w="116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全年抽查比例不低于5%，抽查频次根据监管需要确定</w:t>
            </w:r>
          </w:p>
        </w:tc>
        <w:tc>
          <w:tcPr>
            <w:tcW w:w="5282" w:type="dxa"/>
            <w:shd w:val="clear" w:color="auto" w:fill="FFFFFF"/>
            <w:tcMar>
              <w:top w:w="0" w:type="dxa"/>
              <w:left w:w="105" w:type="dxa"/>
              <w:bottom w:w="0" w:type="dxa"/>
              <w:right w:w="105" w:type="dxa"/>
            </w:tcMar>
            <w:vAlign w:val="center"/>
          </w:tcPr>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1.《中华人民共和国环境保护法》（1989年12月通过，2014年4月修订）第十条：“国务院环境保护主管部门，对全国环境保护工作实施统一监督管理；县级以上地方人民政府环境保护主管部门，对本行政区域环境保护工作实施统一监督管理。”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2.《排污许可管理办法（试行）》（2018年1月环境保护部令第48号）第三十九条：“环境保护主管部门应当制定执法计划，结合排污单位环境信用记录，确定执法监管重点和检查频次。环境保护主管部门对排污单位进行监督检查时，应当重点检查排污许可证规定的许可事项的实施情况。通过执法监测、核查台账记录和自动监测数据以及其他监控手段，核实排污数据和执行报告的真实性，判定是否符合许可排放浓度和许可排放量，检查环境管理要求落实情况。”</w:t>
            </w:r>
          </w:p>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3.《突发环境事件应急管理办法》（2015年4月环境保护部令第34号）第十二条：“县级以上地方环境保护主管部门应当对企业事业单位环境风险防范和环境安全隐患排查治理工作进行抽查或者突击检查，将存在重大环境安全隐患且整治不力的企业信息纳入社会诚信档案，并可以通报行业主管部门、投资主管部门、证券监督管理机构以及有关金融机构。”</w:t>
            </w:r>
          </w:p>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4.《山东省实施企业环境污染责任保险管理办法》（鲁环发〔2018〕50号）第六条：“保险监督管理机构依法对保险公司的环责险业务实施监督管理。省生态环境主管部门依法对企业投保环责险的情况实施监督管理。设区的市、县（市、区）生态环境主管部门制定应当投保环责险的企业目录，依法监督检查本行政区域内企业投保环责险的情况。”</w:t>
            </w:r>
          </w:p>
        </w:tc>
        <w:tc>
          <w:tcPr>
            <w:tcW w:w="1134" w:type="dxa"/>
            <w:shd w:val="clear" w:color="auto" w:fill="FFFFFF"/>
            <w:tcMar>
              <w:top w:w="0" w:type="dxa"/>
              <w:left w:w="105" w:type="dxa"/>
              <w:bottom w:w="0" w:type="dxa"/>
              <w:right w:w="105" w:type="dxa"/>
            </w:tcMar>
            <w:vAlign w:val="center"/>
          </w:tcPr>
          <w:p>
            <w:pPr>
              <w:shd w:val="clear" w:color="auto" w:fill="FFFFFF"/>
              <w:adjustRightInd/>
              <w:snapToGrid/>
              <w:spacing w:after="0" w:line="300" w:lineRule="atLeast"/>
              <w:jc w:val="both"/>
              <w:rPr>
                <w:rFonts w:ascii="Arial" w:hAnsi="Arial" w:eastAsia="宋体" w:cs="Arial"/>
                <w:color w:val="333333"/>
                <w:sz w:val="24"/>
                <w:szCs w:val="24"/>
              </w:rPr>
            </w:pPr>
            <w:r>
              <w:rPr>
                <w:rFonts w:hint="eastAsia" w:ascii="黑体" w:hAnsi="Arial" w:eastAsia="黑体" w:cs="Arial"/>
                <w:color w:val="333333"/>
                <w:sz w:val="18"/>
                <w:szCs w:val="18"/>
              </w:rPr>
              <w:t>执法支 队、各大队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05" w:hRule="atLeast"/>
          <w:tblCellSpacing w:w="0" w:type="dxa"/>
        </w:trPr>
        <w:tc>
          <w:tcPr>
            <w:tcW w:w="506"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2</w:t>
            </w:r>
          </w:p>
        </w:tc>
        <w:tc>
          <w:tcPr>
            <w:tcW w:w="756" w:type="dxa"/>
            <w:shd w:val="clear" w:color="auto" w:fill="FFFFFF"/>
            <w:vAlign w:val="center"/>
          </w:tcPr>
          <w:p>
            <w:pPr>
              <w:adjustRightInd/>
              <w:snapToGrid/>
              <w:spacing w:after="0" w:line="330" w:lineRule="atLeast"/>
              <w:jc w:val="center"/>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18"/>
                <w:szCs w:val="18"/>
                <w:shd w:val="clear" w:color="auto" w:fill="FFFFFF"/>
              </w:rPr>
              <w:t>市、区（市）生态环境部门</w:t>
            </w:r>
          </w:p>
        </w:tc>
        <w:tc>
          <w:tcPr>
            <w:tcW w:w="757"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固体废物（危险废物）环境安全监督检查</w:t>
            </w:r>
          </w:p>
        </w:tc>
        <w:tc>
          <w:tcPr>
            <w:tcW w:w="773"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产生、利用、处置固体废物（危险废物）企业</w:t>
            </w:r>
          </w:p>
        </w:tc>
        <w:tc>
          <w:tcPr>
            <w:tcW w:w="1206"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危险废物规范化管理指标体系内容。主要包括危险废物识别标志设置情况，危险废物管理计划制定情况，危险废物申报登记、转移联单、经营许可、应急预案备案等管理制度执行情况，贮存、利用、处置危险废物是否符合相关标准规范等情况</w:t>
            </w:r>
          </w:p>
        </w:tc>
        <w:tc>
          <w:tcPr>
            <w:tcW w:w="724"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一般检查事项</w:t>
            </w:r>
          </w:p>
        </w:tc>
        <w:tc>
          <w:tcPr>
            <w:tcW w:w="652"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现场检查</w:t>
            </w:r>
          </w:p>
        </w:tc>
        <w:tc>
          <w:tcPr>
            <w:tcW w:w="1166" w:type="dxa"/>
            <w:shd w:val="clear" w:color="auto" w:fill="FFFFFF"/>
            <w:tcMar>
              <w:top w:w="0" w:type="dxa"/>
              <w:left w:w="105" w:type="dxa"/>
              <w:bottom w:w="0" w:type="dxa"/>
              <w:right w:w="105" w:type="dxa"/>
            </w:tcMar>
            <w:vAlign w:val="center"/>
          </w:tcPr>
          <w:p>
            <w:pPr>
              <w:adjustRightInd/>
              <w:snapToGrid/>
              <w:spacing w:after="0" w:line="33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抽查每季度开展1次，每年抽查比例不低于3%</w:t>
            </w:r>
          </w:p>
        </w:tc>
        <w:tc>
          <w:tcPr>
            <w:tcW w:w="5282" w:type="dxa"/>
            <w:shd w:val="clear" w:color="auto" w:fill="FFFFFF"/>
            <w:tcMar>
              <w:top w:w="0" w:type="dxa"/>
              <w:left w:w="105" w:type="dxa"/>
              <w:bottom w:w="0" w:type="dxa"/>
              <w:right w:w="105" w:type="dxa"/>
            </w:tcMar>
            <w:vAlign w:val="center"/>
          </w:tcPr>
          <w:p>
            <w:pPr>
              <w:shd w:val="clear" w:color="auto" w:fill="FFFFFF"/>
              <w:adjustRightInd/>
              <w:snapToGrid/>
              <w:spacing w:after="0" w:line="33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1.《中华人民共和国固体废物污染环境防治法》（1995年10月通过，2016年11月修正）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检查机关进行现场检查时，可以采取现场监测、采集样品、查阅或者复制与固体废物污染环境防治相关的资料等措施。检查人员进行现场检查，应当出示证件。”第六十二条：“产生、收集、贮存、运输、利用、处置危险废物的单位，应当制定意外事故的防范措施和应急预案，并向所在地县级以上地方人民政府环境保护行政主管部门备案；环境保护行政主管部门应当进行检查。”</w:t>
            </w:r>
          </w:p>
          <w:p>
            <w:pPr>
              <w:shd w:val="clear" w:color="auto" w:fill="FFFFFF"/>
              <w:adjustRightInd/>
              <w:snapToGrid/>
              <w:spacing w:after="0" w:line="33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2.《危险废物经营许可证管理办法》（2004年5月国务院令第408号，2016年2月修订）第十七条：“县级以上人民政府环境保护主管部门应当通过书面核查和实地检查等方式，加强对危险废物经营单位的监督检查，并将监督检查情况和处理结果予以记录，由监督检查人员签字后归档。公众有权查阅县级以上人民政府环境保护主管部门的监督检查记录。县级以上人民政府环境保护主管部门发现危险废物经营单位在经营活动中有不符合原发证条件的情形的，应当责令其限期整改。”</w:t>
            </w:r>
          </w:p>
          <w:p>
            <w:pPr>
              <w:shd w:val="clear" w:color="auto" w:fill="FFFFFF"/>
              <w:adjustRightInd/>
              <w:snapToGrid/>
              <w:spacing w:after="0" w:line="33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 </w:t>
            </w:r>
          </w:p>
          <w:p>
            <w:pPr>
              <w:shd w:val="clear" w:color="auto" w:fill="FFFFFF"/>
              <w:adjustRightInd/>
              <w:snapToGrid/>
              <w:spacing w:after="0" w:line="33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 </w:t>
            </w:r>
          </w:p>
        </w:tc>
        <w:tc>
          <w:tcPr>
            <w:tcW w:w="1134" w:type="dxa"/>
            <w:shd w:val="clear" w:color="auto" w:fill="FFFFFF"/>
            <w:tcMar>
              <w:top w:w="0" w:type="dxa"/>
              <w:left w:w="105" w:type="dxa"/>
              <w:bottom w:w="0" w:type="dxa"/>
              <w:right w:w="105" w:type="dxa"/>
            </w:tcMar>
            <w:vAlign w:val="center"/>
          </w:tcPr>
          <w:p>
            <w:pPr>
              <w:shd w:val="clear" w:color="auto" w:fill="FFFFFF"/>
              <w:adjustRightInd/>
              <w:snapToGrid/>
              <w:spacing w:after="0" w:line="330" w:lineRule="atLeast"/>
              <w:jc w:val="both"/>
              <w:rPr>
                <w:rFonts w:eastAsia="宋体" w:cs="Arial" w:asciiTheme="minorHAnsi" w:hAnsiTheme="minorHAnsi"/>
                <w:color w:val="333333"/>
                <w:sz w:val="24"/>
                <w:szCs w:val="24"/>
              </w:rPr>
            </w:pPr>
            <w:r>
              <w:rPr>
                <w:rFonts w:hint="eastAsia" w:ascii="黑体" w:hAnsi="Arial" w:eastAsia="黑体" w:cs="Arial"/>
                <w:color w:val="333333"/>
                <w:sz w:val="18"/>
                <w:szCs w:val="18"/>
              </w:rPr>
              <w:t>土壤固废处、执法支队</w:t>
            </w:r>
            <w:r>
              <w:rPr>
                <w:rFonts w:hint="eastAsia" w:eastAsia="黑体" w:cs="Arial" w:asciiTheme="minorHAnsi" w:hAnsiTheme="minorHAnsi"/>
                <w:color w:val="333333"/>
                <w:sz w:val="18"/>
                <w:szCs w:val="18"/>
              </w:rPr>
              <w:t>、</w:t>
            </w:r>
            <w:r>
              <w:rPr>
                <w:rFonts w:hint="eastAsia" w:ascii="黑体" w:hAnsi="Arial" w:eastAsia="黑体" w:cs="Arial"/>
                <w:color w:val="333333"/>
                <w:sz w:val="18"/>
                <w:szCs w:val="18"/>
              </w:rPr>
              <w:t>各大队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CellSpacing w:w="0" w:type="dxa"/>
        </w:trPr>
        <w:tc>
          <w:tcPr>
            <w:tcW w:w="5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3</w:t>
            </w:r>
          </w:p>
        </w:tc>
        <w:tc>
          <w:tcPr>
            <w:tcW w:w="756" w:type="dxa"/>
            <w:shd w:val="clear" w:color="auto" w:fill="FFFFFF"/>
            <w:vAlign w:val="center"/>
          </w:tcPr>
          <w:p>
            <w:pPr>
              <w:adjustRightInd/>
              <w:snapToGrid/>
              <w:spacing w:after="0" w:line="300" w:lineRule="atLeast"/>
              <w:jc w:val="center"/>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18"/>
                <w:szCs w:val="18"/>
                <w:shd w:val="clear" w:color="auto" w:fill="FFFFFF"/>
              </w:rPr>
              <w:t>市、区（市）生态环境部门</w:t>
            </w:r>
          </w:p>
        </w:tc>
        <w:tc>
          <w:tcPr>
            <w:tcW w:w="757"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污染源自动监控设施现场监督检查</w:t>
            </w:r>
          </w:p>
        </w:tc>
        <w:tc>
          <w:tcPr>
            <w:tcW w:w="773"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重点排污单位和城镇污水处理厂</w:t>
            </w:r>
          </w:p>
        </w:tc>
        <w:tc>
          <w:tcPr>
            <w:tcW w:w="12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检查自动监控设施运行情况和监测数据的真实性、准确性</w:t>
            </w:r>
          </w:p>
        </w:tc>
        <w:tc>
          <w:tcPr>
            <w:tcW w:w="724"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一般检查事项</w:t>
            </w:r>
          </w:p>
        </w:tc>
        <w:tc>
          <w:tcPr>
            <w:tcW w:w="652"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现场检查</w:t>
            </w:r>
          </w:p>
        </w:tc>
        <w:tc>
          <w:tcPr>
            <w:tcW w:w="116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抽查每季度开展1次，每年抽查比例不低于3%</w:t>
            </w:r>
          </w:p>
        </w:tc>
        <w:tc>
          <w:tcPr>
            <w:tcW w:w="5282" w:type="dxa"/>
            <w:shd w:val="clear" w:color="auto" w:fill="FFFFFF"/>
            <w:tcMar>
              <w:top w:w="0" w:type="dxa"/>
              <w:left w:w="105" w:type="dxa"/>
              <w:bottom w:w="0" w:type="dxa"/>
              <w:right w:w="105" w:type="dxa"/>
            </w:tcMar>
            <w:vAlign w:val="center"/>
          </w:tcPr>
          <w:p>
            <w:pPr>
              <w:shd w:val="clear" w:color="auto" w:fill="FFFFFF"/>
              <w:adjustRightInd/>
              <w:snapToGrid/>
              <w:spacing w:after="0" w:line="33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1.《中华人民共和国环境保护法》（1989年12月通过，2014年4月修订）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pPr>
              <w:shd w:val="clear" w:color="auto" w:fill="FFFFFF"/>
              <w:adjustRightInd/>
              <w:snapToGrid/>
              <w:spacing w:after="0" w:line="33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2.《污染源自动监控设施现场监督检查办法》（2012年2月环境保护部令第19号）第四条：“污染源自动监控设施的现场监督检查，由各级环境保护主管部门或者其委托的行使现场监督检查职责的机构（以下统称监督检查机构）具体负责。”</w:t>
            </w:r>
          </w:p>
        </w:tc>
        <w:tc>
          <w:tcPr>
            <w:tcW w:w="1134" w:type="dxa"/>
            <w:shd w:val="clear" w:color="auto" w:fill="FFFFFF"/>
            <w:tcMar>
              <w:top w:w="0" w:type="dxa"/>
              <w:left w:w="105" w:type="dxa"/>
              <w:bottom w:w="0" w:type="dxa"/>
              <w:right w:w="105" w:type="dxa"/>
            </w:tcMar>
            <w:vAlign w:val="center"/>
          </w:tcPr>
          <w:p>
            <w:pPr>
              <w:shd w:val="clear" w:color="auto" w:fill="FFFFFF"/>
              <w:adjustRightInd/>
              <w:snapToGrid/>
              <w:spacing w:after="0" w:line="300" w:lineRule="atLeast"/>
              <w:jc w:val="both"/>
              <w:rPr>
                <w:rFonts w:ascii="Arial" w:hAnsi="Arial" w:eastAsia="宋体" w:cs="Arial"/>
                <w:color w:val="333333"/>
                <w:sz w:val="24"/>
                <w:szCs w:val="24"/>
              </w:rPr>
            </w:pPr>
            <w:r>
              <w:rPr>
                <w:rFonts w:hint="eastAsia" w:ascii="黑体" w:hAnsi="Arial" w:eastAsia="黑体" w:cs="Arial"/>
                <w:color w:val="333333"/>
                <w:sz w:val="18"/>
                <w:szCs w:val="18"/>
              </w:rPr>
              <w:t>核与辐射处、监测中 心、执法支队、各大队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4</w:t>
            </w:r>
          </w:p>
        </w:tc>
        <w:tc>
          <w:tcPr>
            <w:tcW w:w="756" w:type="dxa"/>
            <w:shd w:val="clear" w:color="auto" w:fill="FFFFFF"/>
            <w:vAlign w:val="center"/>
          </w:tcPr>
          <w:p>
            <w:pPr>
              <w:adjustRightInd/>
              <w:snapToGrid/>
              <w:spacing w:after="0" w:line="300" w:lineRule="atLeast"/>
              <w:jc w:val="center"/>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18"/>
                <w:szCs w:val="18"/>
                <w:shd w:val="clear" w:color="auto" w:fill="FFFFFF"/>
              </w:rPr>
              <w:t>市、区（市）生态环境部门</w:t>
            </w:r>
          </w:p>
        </w:tc>
        <w:tc>
          <w:tcPr>
            <w:tcW w:w="757"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核技术利用单位辐射安全监督检查</w:t>
            </w:r>
          </w:p>
        </w:tc>
        <w:tc>
          <w:tcPr>
            <w:tcW w:w="773"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Ⅰ类、Ⅱ类、Ⅲ类放射源应用单位，乙级非密封放射性物质工作场所</w:t>
            </w:r>
          </w:p>
        </w:tc>
        <w:tc>
          <w:tcPr>
            <w:tcW w:w="120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核技术利用单位法律法规标准执行情况，辐射安全与防护设施运行管理情况，规章制度制定及落实情况，废旧放射源及放射性废物处置情况，国家核技术利用辐射安全监管系统信息完整情况，辐射事件和事故应急响应和处理情况、核安全文化教育情况等</w:t>
            </w:r>
          </w:p>
        </w:tc>
        <w:tc>
          <w:tcPr>
            <w:tcW w:w="724"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一般检查事项</w:t>
            </w:r>
          </w:p>
        </w:tc>
        <w:tc>
          <w:tcPr>
            <w:tcW w:w="652"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现场检查</w:t>
            </w:r>
          </w:p>
        </w:tc>
        <w:tc>
          <w:tcPr>
            <w:tcW w:w="1166" w:type="dxa"/>
            <w:shd w:val="clear" w:color="auto" w:fill="FFFFFF"/>
            <w:tcMar>
              <w:top w:w="0" w:type="dxa"/>
              <w:left w:w="105" w:type="dxa"/>
              <w:bottom w:w="0" w:type="dxa"/>
              <w:right w:w="105" w:type="dxa"/>
            </w:tcMar>
            <w:vAlign w:val="center"/>
          </w:tcPr>
          <w:p>
            <w:pPr>
              <w:adjustRightInd/>
              <w:snapToGrid/>
              <w:spacing w:after="0" w:line="300" w:lineRule="atLeast"/>
              <w:jc w:val="center"/>
              <w:rPr>
                <w:rFonts w:ascii="Arial" w:hAnsi="Arial" w:eastAsia="宋体" w:cs="Arial"/>
                <w:color w:val="333333"/>
                <w:sz w:val="24"/>
                <w:szCs w:val="24"/>
              </w:rPr>
            </w:pPr>
            <w:r>
              <w:rPr>
                <w:rFonts w:hint="eastAsia" w:ascii="黑体" w:hAnsi="Arial" w:eastAsia="黑体" w:cs="Arial"/>
                <w:color w:val="333333"/>
                <w:sz w:val="18"/>
                <w:szCs w:val="18"/>
                <w:shd w:val="clear" w:color="auto" w:fill="FFFFFF"/>
              </w:rPr>
              <w:t>抽查每季度开展1次，每年抽查比例不低于70%</w:t>
            </w:r>
          </w:p>
        </w:tc>
        <w:tc>
          <w:tcPr>
            <w:tcW w:w="5282" w:type="dxa"/>
            <w:shd w:val="clear" w:color="auto" w:fill="FFFFFF"/>
            <w:tcMar>
              <w:top w:w="0" w:type="dxa"/>
              <w:left w:w="105" w:type="dxa"/>
              <w:bottom w:w="0" w:type="dxa"/>
              <w:right w:w="105" w:type="dxa"/>
            </w:tcMar>
            <w:vAlign w:val="center"/>
          </w:tcPr>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1.《中华人民共和国放射性污染防治法》（2003年6月通过）第十一条:“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2.《放射性同位素与射线装置安全和防护条例》（2005年8月国务院令第449号，2014年7月修订）第二十七条:“生产、销售、使用放射性同位素和射线装置的单位，应当对本单位的放射性同位素、射线装置的安全和防护工作负责，并依法对其造成的放射性危害承担责任。生产放射性同位素的单位的行业主管部门，应当加强对生产单位安全和防护工作的管理，并定期对其执行法律、法规和国家标准的情况进行监督检查。”第四十六条:“县级以上人民政府生态环境主管部门和其他有关部门应当按照各自职责对生产、销售、使用放射性同位素和射线装置的单位进行监督检查。被检查单位应当予以配合，如实反映情况，提供必要的资料，不得拒绝和阻碍。”</w:t>
            </w:r>
          </w:p>
          <w:p>
            <w:pPr>
              <w:shd w:val="clear" w:color="auto" w:fill="FFFFFF"/>
              <w:adjustRightInd/>
              <w:snapToGrid/>
              <w:spacing w:after="0" w:line="300" w:lineRule="atLeast"/>
              <w:ind w:firstLine="345"/>
              <w:jc w:val="both"/>
              <w:rPr>
                <w:rFonts w:ascii="Arial" w:hAnsi="Arial" w:eastAsia="宋体" w:cs="Arial"/>
                <w:color w:val="333333"/>
                <w:sz w:val="24"/>
                <w:szCs w:val="24"/>
              </w:rPr>
            </w:pPr>
            <w:r>
              <w:rPr>
                <w:rFonts w:hint="eastAsia" w:ascii="黑体" w:hAnsi="Arial" w:eastAsia="黑体" w:cs="Arial"/>
                <w:color w:val="333333"/>
                <w:sz w:val="18"/>
                <w:szCs w:val="18"/>
              </w:rPr>
              <w:t>3.《山东省辐射污染防治条例》（2014年1月通过）第四十六条:“县级以上人民政府环境保护、公安、卫生等部门和无线电管理机构应当依照有关法律、法规和本条例的规定，建立健全监督检查制度，定期对辐射安全防护和辐射污染防治情况进行监督检查。”第五十条:“县级以上人民政府环境保护、公安、交通运输等部门应当依照有关法律、法规，加强放射性物品运输安全的监督检查。对放射性物品运输的监督性监测实行分类管理。一类放射性物品运输的监督性监测由省人民政府环境保护主管部门负责；二类、三类放射性物品运输的监督性监测由设区的市人民政府环境保护主管部门负责。”</w:t>
            </w:r>
          </w:p>
        </w:tc>
        <w:tc>
          <w:tcPr>
            <w:tcW w:w="1134" w:type="dxa"/>
            <w:shd w:val="clear" w:color="auto" w:fill="FFFFFF"/>
            <w:tcMar>
              <w:top w:w="0" w:type="dxa"/>
              <w:left w:w="105" w:type="dxa"/>
              <w:bottom w:w="0" w:type="dxa"/>
              <w:right w:w="105" w:type="dxa"/>
            </w:tcMar>
            <w:vAlign w:val="center"/>
          </w:tcPr>
          <w:p>
            <w:pPr>
              <w:shd w:val="clear" w:color="auto" w:fill="FFFFFF"/>
              <w:adjustRightInd/>
              <w:snapToGrid/>
              <w:spacing w:after="0" w:line="300" w:lineRule="atLeast"/>
              <w:jc w:val="both"/>
              <w:rPr>
                <w:rFonts w:ascii="Arial" w:hAnsi="Arial" w:eastAsia="宋体" w:cs="Arial"/>
                <w:color w:val="333333"/>
                <w:sz w:val="24"/>
                <w:szCs w:val="24"/>
              </w:rPr>
            </w:pPr>
            <w:r>
              <w:rPr>
                <w:rFonts w:hint="eastAsia" w:ascii="黑体" w:hAnsi="Arial" w:eastAsia="黑体" w:cs="Arial"/>
                <w:color w:val="333333"/>
                <w:sz w:val="18"/>
                <w:szCs w:val="18"/>
              </w:rPr>
              <w:t>核与辐射处、执法支队、各大队</w:t>
            </w: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A3D7C"/>
    <w:rsid w:val="0026382B"/>
    <w:rsid w:val="00277B10"/>
    <w:rsid w:val="00323B43"/>
    <w:rsid w:val="003D37D8"/>
    <w:rsid w:val="0040303B"/>
    <w:rsid w:val="00426133"/>
    <w:rsid w:val="004358AB"/>
    <w:rsid w:val="006C44A9"/>
    <w:rsid w:val="006F7FD2"/>
    <w:rsid w:val="00852A99"/>
    <w:rsid w:val="008B7726"/>
    <w:rsid w:val="00B8151E"/>
    <w:rsid w:val="00B8310A"/>
    <w:rsid w:val="00CC10BA"/>
    <w:rsid w:val="00D05C1B"/>
    <w:rsid w:val="00D31D50"/>
    <w:rsid w:val="00E806A9"/>
    <w:rsid w:val="00F5285D"/>
    <w:rsid w:val="27B9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1"/>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uiPriority w:val="99"/>
    <w:rPr>
      <w:rFonts w:ascii="Tahoma" w:hAnsi="Tahoma"/>
      <w:sz w:val="18"/>
      <w:szCs w:val="18"/>
    </w:rPr>
  </w:style>
  <w:style w:type="character" w:customStyle="1" w:styleId="11">
    <w:name w:val="标题 2 Char"/>
    <w:basedOn w:val="7"/>
    <w:link w:val="2"/>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514</Words>
  <Characters>2933</Characters>
  <Lines>24</Lines>
  <Paragraphs>6</Paragraphs>
  <TotalTime>23</TotalTime>
  <ScaleCrop>false</ScaleCrop>
  <LinksUpToDate>false</LinksUpToDate>
  <CharactersWithSpaces>3441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Administrator.SKY-20210702HEM</dc:creator>
  <cp:lastModifiedBy>Administrator</cp:lastModifiedBy>
  <dcterms:modified xsi:type="dcterms:W3CDTF">2022-02-14T08:11:20Z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FA0C4863023C4619A766EB4422A3AD7C</vt:lpwstr>
  </property>
</Properties>
</file>