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z w:val="40"/>
          <w:szCs w:val="44"/>
        </w:rPr>
        <w:t>2022</w:t>
      </w:r>
      <w:r>
        <w:rPr>
          <w:rFonts w:hint="eastAsia" w:ascii="方正小标宋简体" w:eastAsia="方正小标宋简体"/>
          <w:sz w:val="40"/>
          <w:szCs w:val="44"/>
        </w:rPr>
        <w:t>年度即墨区交通运输系统部门内部“双随机、一公开”抽查工作计划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960"/>
        <w:gridCol w:w="1680"/>
        <w:gridCol w:w="1410"/>
        <w:gridCol w:w="2385"/>
        <w:gridCol w:w="1455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75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权责清单事项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检查对象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事项类别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抽查比例及频次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检查时间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组织实施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rFonts w:ascii="方正小标宋简体" w:eastAsia="方正小标宋简体"/>
                <w:sz w:val="21"/>
                <w:szCs w:val="44"/>
              </w:rPr>
            </w:pPr>
            <w:r>
              <w:rPr>
                <w:rFonts w:ascii="方正小标宋简体" w:eastAsia="方正小标宋简体"/>
                <w:sz w:val="21"/>
                <w:szCs w:val="44"/>
              </w:rPr>
              <w:t>1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对交通运输行业安全生产的监督检查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对交通建设工程的安全生产监督检查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重点公路水运建设项目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-8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default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规划基建科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75" w:type="dxa"/>
          </w:tcPr>
          <w:p>
            <w:pPr>
              <w:jc w:val="center"/>
              <w:rPr>
                <w:rFonts w:ascii="方正小标宋简体" w:eastAsia="方正小标宋简体"/>
                <w:sz w:val="21"/>
                <w:szCs w:val="44"/>
              </w:rPr>
            </w:pPr>
            <w:r>
              <w:rPr>
                <w:rFonts w:ascii="方正小标宋简体" w:eastAsia="方正小标宋简体"/>
                <w:sz w:val="21"/>
                <w:szCs w:val="44"/>
              </w:rPr>
              <w:t>2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对公路水运工程质量的监督检查和对公路工程造价的监督检查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公路水运建设市场督查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重点公路水运建设项目从业单位和从业人员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全年抽查重点公路水运工程项目比例不低于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，每年至少抽查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规划基建科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3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对公路的监督检查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对涉路工程建设项目的抽查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涉路工程建设单位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，每年抽查不低于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规划基建科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4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重点营运车辆联网联控系统运营企业检查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重点营运车辆联网联控系统运营平台运营企业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20%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货运科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5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机动车驾驶员培训监督检查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机动车驾驶员培训经营者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年不低于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驾培科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6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道路客运经营（含客运班线经营）许可后监督检查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道路客运经营（含客运班线经营）者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年不低于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运输业发展服务中心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客运科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7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道路运输站（场）经营许可后监督检查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道路运输站（场）经营者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年不低于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-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客运科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城市公共汽（电）车客运线路经营权许可后监督检查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即墨区公交运营企业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100%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客运科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对道路运输的监督检查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巡游出租汽车经营许可后监督检查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即墨区巡游出租汽车企业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出租科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75" w:type="dxa"/>
          </w:tcPr>
          <w:p>
            <w:pPr>
              <w:jc w:val="center"/>
              <w:rPr>
                <w:rFonts w:hint="default" w:ascii="方正小标宋简体" w:eastAsia="方正小标宋简体"/>
                <w:sz w:val="21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10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对水路运输企业经营行为实施的监督检查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国内船舶管理企业监督检查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即墨区船舶管理业务经营企业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港航运输科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75" w:type="dxa"/>
          </w:tcPr>
          <w:p>
            <w:pPr>
              <w:jc w:val="center"/>
              <w:rPr>
                <w:rFonts w:hint="default" w:ascii="方正小标宋简体" w:eastAsia="方正小标宋简体"/>
                <w:sz w:val="21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11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对水路运输企业经营行为实施的监督检查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水路运输经营市场监督检查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即墨区水路运输企业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，每年抽查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-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港航运输科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75" w:type="dxa"/>
          </w:tcPr>
          <w:p>
            <w:pPr>
              <w:jc w:val="center"/>
              <w:rPr>
                <w:rFonts w:hint="eastAsia" w:ascii="方正小标宋简体" w:eastAsia="方正小标宋简体"/>
                <w:sz w:val="21"/>
                <w:szCs w:val="44"/>
                <w:lang w:eastAsia="zh-CN"/>
              </w:rPr>
            </w:pPr>
            <w:r>
              <w:rPr>
                <w:rFonts w:ascii="方正小标宋简体" w:eastAsia="方正小标宋简体"/>
                <w:sz w:val="21"/>
                <w:szCs w:val="44"/>
              </w:rPr>
              <w:t>1</w:t>
            </w:r>
            <w:r>
              <w:rPr>
                <w:rFonts w:hint="eastAsia" w:ascii="方正小标宋简体" w:eastAsia="方正小标宋简体"/>
                <w:sz w:val="21"/>
                <w:szCs w:val="44"/>
                <w:lang w:val="en-US" w:eastAsia="zh-CN"/>
              </w:rPr>
              <w:t>2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对水路运输企业经营行为实施的监督检查</w:t>
            </w:r>
          </w:p>
        </w:tc>
        <w:tc>
          <w:tcPr>
            <w:tcW w:w="196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国内水路运输辅助业经营者监督检查</w:t>
            </w:r>
          </w:p>
        </w:tc>
        <w:tc>
          <w:tcPr>
            <w:tcW w:w="16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即墨区国内水路运输辅助业经营者</w:t>
            </w:r>
          </w:p>
        </w:tc>
        <w:tc>
          <w:tcPr>
            <w:tcW w:w="141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238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全年抽查比例不低于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 xml:space="preserve"> 5%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，每年不低于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 xml:space="preserve"> 1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次</w:t>
            </w:r>
          </w:p>
        </w:tc>
        <w:tc>
          <w:tcPr>
            <w:tcW w:w="1455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-10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kern w:val="0"/>
                <w:sz w:val="21"/>
                <w:szCs w:val="21"/>
              </w:rPr>
              <w:t>月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textAlignment w:val="center"/>
              <w:rPr>
                <w:rFonts w:ascii="仿宋_GB2312" w:cs="仿宋_GB2312"/>
                <w:color w:val="000000"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运输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</w:rPr>
              <w:t>发展服务中心</w:t>
            </w:r>
            <w:r>
              <w:rPr>
                <w:rFonts w:hint="eastAsia" w:ascii="仿宋_GB2312" w:cs="仿宋_GB2312"/>
                <w:color w:val="000000"/>
                <w:spacing w:val="-11"/>
                <w:kern w:val="0"/>
                <w:sz w:val="21"/>
                <w:szCs w:val="21"/>
                <w:lang w:val="en-US" w:eastAsia="zh-CN"/>
              </w:rPr>
              <w:t>港航运输科</w:t>
            </w:r>
          </w:p>
        </w:tc>
      </w:tr>
    </w:tbl>
    <w:p>
      <w:pPr>
        <w:spacing w:line="320" w:lineRule="exact"/>
        <w:rPr>
          <w:rFonts w:ascii="黑体" w:hAnsi="黑体" w:eastAsia="黑体"/>
          <w:sz w:val="20"/>
          <w:szCs w:val="18"/>
        </w:rPr>
      </w:pPr>
      <w:r>
        <w:rPr>
          <w:rFonts w:hint="eastAsia" w:ascii="黑体" w:hAnsi="黑体" w:eastAsia="黑体"/>
          <w:sz w:val="20"/>
          <w:szCs w:val="18"/>
        </w:rPr>
        <w:t>备注：</w:t>
      </w:r>
    </w:p>
    <w:p>
      <w:pPr>
        <w:spacing w:line="320" w:lineRule="exact"/>
        <w:rPr>
          <w:rFonts w:ascii="黑体" w:hAnsi="黑体" w:eastAsia="黑体"/>
          <w:sz w:val="20"/>
          <w:szCs w:val="18"/>
        </w:rPr>
      </w:pPr>
      <w:r>
        <w:rPr>
          <w:rFonts w:ascii="黑体" w:hAnsi="黑体" w:eastAsia="黑体"/>
          <w:sz w:val="20"/>
          <w:szCs w:val="18"/>
        </w:rPr>
        <w:t>1.</w:t>
      </w:r>
      <w:r>
        <w:rPr>
          <w:rFonts w:hint="eastAsia" w:ascii="黑体" w:hAnsi="黑体" w:eastAsia="黑体"/>
          <w:sz w:val="20"/>
          <w:szCs w:val="18"/>
        </w:rPr>
        <w:t>市场监管信用风险等级分为</w:t>
      </w:r>
      <w:r>
        <w:rPr>
          <w:rFonts w:ascii="黑体" w:hAnsi="黑体" w:eastAsia="黑体"/>
          <w:sz w:val="20"/>
          <w:szCs w:val="18"/>
        </w:rPr>
        <w:t>4</w:t>
      </w:r>
      <w:r>
        <w:rPr>
          <w:rFonts w:hint="eastAsia" w:ascii="黑体" w:hAnsi="黑体" w:eastAsia="黑体"/>
          <w:sz w:val="20"/>
          <w:szCs w:val="18"/>
        </w:rPr>
        <w:t>类，即低风险（</w:t>
      </w:r>
      <w:r>
        <w:rPr>
          <w:rFonts w:ascii="黑体" w:hAnsi="黑体" w:eastAsia="黑体"/>
          <w:sz w:val="20"/>
          <w:szCs w:val="18"/>
        </w:rPr>
        <w:t>A</w:t>
      </w:r>
      <w:r>
        <w:rPr>
          <w:rFonts w:hint="eastAsia" w:ascii="黑体" w:hAnsi="黑体" w:eastAsia="黑体"/>
          <w:sz w:val="20"/>
          <w:szCs w:val="18"/>
        </w:rPr>
        <w:t>类）、中低风险（</w:t>
      </w:r>
      <w:r>
        <w:rPr>
          <w:rFonts w:ascii="黑体" w:hAnsi="黑体" w:eastAsia="黑体"/>
          <w:sz w:val="20"/>
          <w:szCs w:val="18"/>
        </w:rPr>
        <w:t>B</w:t>
      </w:r>
      <w:r>
        <w:rPr>
          <w:rFonts w:hint="eastAsia" w:ascii="黑体" w:hAnsi="黑体" w:eastAsia="黑体"/>
          <w:sz w:val="20"/>
          <w:szCs w:val="18"/>
        </w:rPr>
        <w:t>类）、中风险（</w:t>
      </w:r>
      <w:r>
        <w:rPr>
          <w:rFonts w:ascii="黑体" w:hAnsi="黑体" w:eastAsia="黑体"/>
          <w:sz w:val="20"/>
          <w:szCs w:val="18"/>
        </w:rPr>
        <w:t>C</w:t>
      </w:r>
      <w:r>
        <w:rPr>
          <w:rFonts w:hint="eastAsia" w:ascii="黑体" w:hAnsi="黑体" w:eastAsia="黑体"/>
          <w:sz w:val="20"/>
          <w:szCs w:val="18"/>
        </w:rPr>
        <w:t>类）、高风险（</w:t>
      </w:r>
      <w:r>
        <w:rPr>
          <w:rFonts w:ascii="黑体" w:hAnsi="黑体" w:eastAsia="黑体"/>
          <w:sz w:val="20"/>
          <w:szCs w:val="18"/>
        </w:rPr>
        <w:t>D</w:t>
      </w:r>
      <w:r>
        <w:rPr>
          <w:rFonts w:hint="eastAsia" w:ascii="黑体" w:hAnsi="黑体" w:eastAsia="黑体"/>
          <w:sz w:val="20"/>
          <w:szCs w:val="18"/>
        </w:rPr>
        <w:t>类），已导入“双随机、一公开”监管平台。</w:t>
      </w:r>
    </w:p>
    <w:p>
      <w:pPr>
        <w:spacing w:line="320" w:lineRule="exact"/>
        <w:rPr>
          <w:rFonts w:ascii="仿宋_GB2312" w:cs="仿宋_GB2312"/>
          <w:sz w:val="28"/>
          <w:szCs w:val="28"/>
        </w:rPr>
      </w:pPr>
      <w:r>
        <w:rPr>
          <w:rFonts w:ascii="黑体" w:hAnsi="黑体" w:eastAsia="黑体"/>
          <w:sz w:val="20"/>
          <w:szCs w:val="18"/>
        </w:rPr>
        <w:t>2.</w:t>
      </w:r>
      <w:r>
        <w:rPr>
          <w:rFonts w:hint="eastAsia" w:ascii="黑体" w:hAnsi="黑体" w:eastAsia="黑体"/>
          <w:sz w:val="20"/>
          <w:szCs w:val="18"/>
        </w:rPr>
        <w:t>各部门也可结合本部门信用风险分类管理办法规定的风险等级，确定抽查比例及频次。</w:t>
      </w:r>
    </w:p>
    <w:p>
      <w:pPr>
        <w:rPr>
          <w:rFonts w:ascii="仿宋_GB2312" w:cs="仿宋_GB2312"/>
          <w:sz w:val="28"/>
          <w:szCs w:val="28"/>
        </w:rPr>
      </w:pPr>
    </w:p>
    <w:p>
      <w:pPr>
        <w:rPr>
          <w:rFonts w:ascii="仿宋_GB2312" w:cs="仿宋_GB2312"/>
          <w:sz w:val="28"/>
          <w:szCs w:val="2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531" w:right="1701" w:bottom="1531" w:left="1701" w:header="0" w:footer="1418" w:gutter="0"/>
      <w:cols w:space="720" w:num="1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259" w:wrap="around" w:vAnchor="text" w:hAnchor="page" w:xAlign="center" w:y="1"/>
      <w:tabs>
        <w:tab w:val="left" w:pos="948"/>
      </w:tabs>
      <w:ind w:right="140"/>
      <w:jc w:val="right"/>
      <w:rPr>
        <w:rStyle w:val="15"/>
        <w:rFonts w:ascii="宋体" w:hAnsi="宋体" w:eastAsia="宋体"/>
        <w:sz w:val="28"/>
        <w:szCs w:val="28"/>
      </w:rPr>
    </w:pPr>
    <w:r>
      <w:rPr>
        <w:rStyle w:val="15"/>
        <w:rFonts w:ascii="宋体" w:hAnsi="宋体" w:eastAsia="宋体"/>
        <w:kern w:val="0"/>
        <w:sz w:val="28"/>
        <w:szCs w:val="28"/>
      </w:rPr>
      <w:t xml:space="preserve">— </w:t>
    </w:r>
    <w:r>
      <w:rPr>
        <w:rStyle w:val="15"/>
        <w:rFonts w:ascii="宋体" w:hAnsi="宋体" w:eastAsia="宋体"/>
        <w:kern w:val="0"/>
        <w:sz w:val="28"/>
        <w:szCs w:val="28"/>
      </w:rPr>
      <w:fldChar w:fldCharType="begin"/>
    </w:r>
    <w:r>
      <w:rPr>
        <w:rStyle w:val="15"/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Style w:val="15"/>
        <w:rFonts w:ascii="宋体" w:hAnsi="宋体" w:eastAsia="宋体"/>
        <w:kern w:val="0"/>
        <w:sz w:val="28"/>
        <w:szCs w:val="28"/>
      </w:rPr>
      <w:fldChar w:fldCharType="separate"/>
    </w:r>
    <w:r>
      <w:rPr>
        <w:rStyle w:val="15"/>
        <w:rFonts w:ascii="宋体" w:hAnsi="宋体" w:eastAsia="宋体"/>
        <w:kern w:val="0"/>
        <w:sz w:val="28"/>
        <w:szCs w:val="28"/>
      </w:rPr>
      <w:t>3</w:t>
    </w:r>
    <w:r>
      <w:rPr>
        <w:rStyle w:val="15"/>
        <w:rFonts w:ascii="宋体" w:hAnsi="宋体" w:eastAsia="宋体"/>
        <w:kern w:val="0"/>
        <w:sz w:val="28"/>
        <w:szCs w:val="28"/>
      </w:rPr>
      <w:fldChar w:fldCharType="end"/>
    </w:r>
    <w:r>
      <w:rPr>
        <w:rStyle w:val="15"/>
        <w:rFonts w:ascii="宋体" w:hAnsi="宋体" w:eastAsia="宋体"/>
        <w:kern w:val="0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542" w:wrap="around" w:vAnchor="text" w:hAnchor="margin" w:xAlign="center" w:y="1"/>
      <w:spacing w:beforeLines="10"/>
      <w:ind w:firstLine="140" w:firstLineChars="50"/>
      <w:rPr>
        <w:rStyle w:val="15"/>
        <w:rFonts w:ascii="宋体" w:hAnsi="宋体" w:eastAsia="宋体"/>
        <w:sz w:val="28"/>
        <w:szCs w:val="28"/>
      </w:rPr>
    </w:pPr>
    <w:r>
      <w:rPr>
        <w:rStyle w:val="15"/>
        <w:rFonts w:ascii="宋体" w:hAnsi="宋体" w:eastAsia="宋体"/>
        <w:sz w:val="28"/>
        <w:szCs w:val="28"/>
      </w:rPr>
      <w:t xml:space="preserve">— </w:t>
    </w:r>
    <w:r>
      <w:rPr>
        <w:rStyle w:val="15"/>
        <w:rFonts w:ascii="宋体" w:hAnsi="宋体" w:eastAsia="宋体"/>
        <w:sz w:val="28"/>
        <w:szCs w:val="28"/>
      </w:rPr>
      <w:fldChar w:fldCharType="begin"/>
    </w:r>
    <w:r>
      <w:rPr>
        <w:rStyle w:val="15"/>
        <w:rFonts w:ascii="宋体" w:hAnsi="宋体" w:eastAsia="宋体"/>
        <w:sz w:val="28"/>
        <w:szCs w:val="28"/>
      </w:rPr>
      <w:instrText xml:space="preserve">PAGE  </w:instrText>
    </w:r>
    <w:r>
      <w:rPr>
        <w:rStyle w:val="15"/>
        <w:rFonts w:ascii="宋体" w:hAnsi="宋体" w:eastAsia="宋体"/>
        <w:sz w:val="28"/>
        <w:szCs w:val="28"/>
      </w:rPr>
      <w:fldChar w:fldCharType="separate"/>
    </w:r>
    <w:r>
      <w:rPr>
        <w:rStyle w:val="15"/>
        <w:rFonts w:ascii="宋体" w:hAnsi="宋体" w:eastAsia="宋体"/>
        <w:sz w:val="28"/>
        <w:szCs w:val="28"/>
      </w:rPr>
      <w:t>4</w:t>
    </w:r>
    <w:r>
      <w:rPr>
        <w:rStyle w:val="15"/>
        <w:rFonts w:ascii="宋体" w:hAnsi="宋体" w:eastAsia="宋体"/>
        <w:sz w:val="28"/>
        <w:szCs w:val="28"/>
      </w:rPr>
      <w:fldChar w:fldCharType="end"/>
    </w:r>
    <w:r>
      <w:rPr>
        <w:rStyle w:val="15"/>
        <w:rFonts w:ascii="宋体" w:hAnsi="宋体" w:eastAsia="宋体"/>
        <w:sz w:val="28"/>
        <w:szCs w:val="28"/>
      </w:rPr>
      <w:t xml:space="preserve"> —</w: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evenAndOddHeaders w:val="1"/>
  <w:drawingGridHorizontalSpacing w:val="158"/>
  <w:drawingGridVerticalSpacing w:val="30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39E"/>
    <w:rsid w:val="000126AA"/>
    <w:rsid w:val="00050459"/>
    <w:rsid w:val="00075BDF"/>
    <w:rsid w:val="00076373"/>
    <w:rsid w:val="00080640"/>
    <w:rsid w:val="000808CB"/>
    <w:rsid w:val="00080931"/>
    <w:rsid w:val="0008383E"/>
    <w:rsid w:val="00087FB9"/>
    <w:rsid w:val="000A3179"/>
    <w:rsid w:val="000A3A4D"/>
    <w:rsid w:val="000B0BAF"/>
    <w:rsid w:val="000B1D6F"/>
    <w:rsid w:val="000B709E"/>
    <w:rsid w:val="000C149F"/>
    <w:rsid w:val="000C43B2"/>
    <w:rsid w:val="000C7A72"/>
    <w:rsid w:val="000C7D55"/>
    <w:rsid w:val="000D66B2"/>
    <w:rsid w:val="000F4677"/>
    <w:rsid w:val="00122941"/>
    <w:rsid w:val="00122CBC"/>
    <w:rsid w:val="0012754A"/>
    <w:rsid w:val="00130EA9"/>
    <w:rsid w:val="00137422"/>
    <w:rsid w:val="001804C9"/>
    <w:rsid w:val="001845CD"/>
    <w:rsid w:val="00192140"/>
    <w:rsid w:val="001A28CE"/>
    <w:rsid w:val="001A5090"/>
    <w:rsid w:val="001B222A"/>
    <w:rsid w:val="001B592A"/>
    <w:rsid w:val="001C2AF8"/>
    <w:rsid w:val="001D3B16"/>
    <w:rsid w:val="001E0627"/>
    <w:rsid w:val="001E364A"/>
    <w:rsid w:val="001E615B"/>
    <w:rsid w:val="001F7DE6"/>
    <w:rsid w:val="0020369B"/>
    <w:rsid w:val="0022190A"/>
    <w:rsid w:val="002219F9"/>
    <w:rsid w:val="00230AD9"/>
    <w:rsid w:val="002445AA"/>
    <w:rsid w:val="00255398"/>
    <w:rsid w:val="00256C4D"/>
    <w:rsid w:val="00256C50"/>
    <w:rsid w:val="00280FB9"/>
    <w:rsid w:val="00281CD1"/>
    <w:rsid w:val="002929EA"/>
    <w:rsid w:val="002B1084"/>
    <w:rsid w:val="002B1441"/>
    <w:rsid w:val="002B2D4E"/>
    <w:rsid w:val="002B6D22"/>
    <w:rsid w:val="002C62C3"/>
    <w:rsid w:val="002C76DB"/>
    <w:rsid w:val="002E57D1"/>
    <w:rsid w:val="002E7D02"/>
    <w:rsid w:val="002F0CF5"/>
    <w:rsid w:val="002F14D0"/>
    <w:rsid w:val="0031057D"/>
    <w:rsid w:val="00311000"/>
    <w:rsid w:val="00311391"/>
    <w:rsid w:val="00321EF1"/>
    <w:rsid w:val="00322866"/>
    <w:rsid w:val="003231C4"/>
    <w:rsid w:val="00324AE9"/>
    <w:rsid w:val="00324B3F"/>
    <w:rsid w:val="00331F46"/>
    <w:rsid w:val="00340CD5"/>
    <w:rsid w:val="00351FF3"/>
    <w:rsid w:val="003538C6"/>
    <w:rsid w:val="00373D9C"/>
    <w:rsid w:val="0037632B"/>
    <w:rsid w:val="0037693F"/>
    <w:rsid w:val="003849B2"/>
    <w:rsid w:val="0038563A"/>
    <w:rsid w:val="00395250"/>
    <w:rsid w:val="00397CAA"/>
    <w:rsid w:val="003A1825"/>
    <w:rsid w:val="003A277F"/>
    <w:rsid w:val="003B0543"/>
    <w:rsid w:val="003C58ED"/>
    <w:rsid w:val="003D111F"/>
    <w:rsid w:val="003E093C"/>
    <w:rsid w:val="003E6BED"/>
    <w:rsid w:val="003F2C6A"/>
    <w:rsid w:val="003F2D08"/>
    <w:rsid w:val="003F7FE4"/>
    <w:rsid w:val="00402C86"/>
    <w:rsid w:val="00404920"/>
    <w:rsid w:val="00422E66"/>
    <w:rsid w:val="00422EC0"/>
    <w:rsid w:val="004239C5"/>
    <w:rsid w:val="00425147"/>
    <w:rsid w:val="00425FDC"/>
    <w:rsid w:val="00426C62"/>
    <w:rsid w:val="00452663"/>
    <w:rsid w:val="004551A1"/>
    <w:rsid w:val="00457ACF"/>
    <w:rsid w:val="0046643C"/>
    <w:rsid w:val="00466463"/>
    <w:rsid w:val="004715A8"/>
    <w:rsid w:val="00471785"/>
    <w:rsid w:val="00483133"/>
    <w:rsid w:val="004854E0"/>
    <w:rsid w:val="00486C2E"/>
    <w:rsid w:val="00494DF5"/>
    <w:rsid w:val="004B3A70"/>
    <w:rsid w:val="004B72DB"/>
    <w:rsid w:val="004B7A92"/>
    <w:rsid w:val="004D3725"/>
    <w:rsid w:val="004D3838"/>
    <w:rsid w:val="004E0F63"/>
    <w:rsid w:val="004E1C0F"/>
    <w:rsid w:val="004E3B36"/>
    <w:rsid w:val="004E3F59"/>
    <w:rsid w:val="004E6ACB"/>
    <w:rsid w:val="004F15AD"/>
    <w:rsid w:val="00506832"/>
    <w:rsid w:val="00512A24"/>
    <w:rsid w:val="00515B9D"/>
    <w:rsid w:val="00517637"/>
    <w:rsid w:val="00522448"/>
    <w:rsid w:val="00534D1B"/>
    <w:rsid w:val="0053539E"/>
    <w:rsid w:val="00542A88"/>
    <w:rsid w:val="00547481"/>
    <w:rsid w:val="005569C1"/>
    <w:rsid w:val="005742E8"/>
    <w:rsid w:val="005824B0"/>
    <w:rsid w:val="00587CC0"/>
    <w:rsid w:val="005A12FD"/>
    <w:rsid w:val="005A55AE"/>
    <w:rsid w:val="005A74F8"/>
    <w:rsid w:val="005A754D"/>
    <w:rsid w:val="005B1FFE"/>
    <w:rsid w:val="005B2D9C"/>
    <w:rsid w:val="005B366E"/>
    <w:rsid w:val="005B506D"/>
    <w:rsid w:val="005C2D00"/>
    <w:rsid w:val="005C50FD"/>
    <w:rsid w:val="005D0760"/>
    <w:rsid w:val="005D39E6"/>
    <w:rsid w:val="005D5349"/>
    <w:rsid w:val="005D6132"/>
    <w:rsid w:val="005E1DA0"/>
    <w:rsid w:val="005E201B"/>
    <w:rsid w:val="005E3222"/>
    <w:rsid w:val="005F75CA"/>
    <w:rsid w:val="006069CF"/>
    <w:rsid w:val="00606D96"/>
    <w:rsid w:val="00615595"/>
    <w:rsid w:val="00621E36"/>
    <w:rsid w:val="00623856"/>
    <w:rsid w:val="00632BA2"/>
    <w:rsid w:val="0063723C"/>
    <w:rsid w:val="00637663"/>
    <w:rsid w:val="00637DEA"/>
    <w:rsid w:val="00644D82"/>
    <w:rsid w:val="0067521C"/>
    <w:rsid w:val="00682391"/>
    <w:rsid w:val="00686013"/>
    <w:rsid w:val="006A6491"/>
    <w:rsid w:val="006B4BC6"/>
    <w:rsid w:val="006D2549"/>
    <w:rsid w:val="006E0A4A"/>
    <w:rsid w:val="006E5ADC"/>
    <w:rsid w:val="006F0FF7"/>
    <w:rsid w:val="006F15E4"/>
    <w:rsid w:val="006F2788"/>
    <w:rsid w:val="006F302C"/>
    <w:rsid w:val="00705630"/>
    <w:rsid w:val="007118B3"/>
    <w:rsid w:val="00716B07"/>
    <w:rsid w:val="00717333"/>
    <w:rsid w:val="00722D5A"/>
    <w:rsid w:val="007325C2"/>
    <w:rsid w:val="00735B45"/>
    <w:rsid w:val="00781047"/>
    <w:rsid w:val="007831ED"/>
    <w:rsid w:val="00785814"/>
    <w:rsid w:val="00791888"/>
    <w:rsid w:val="007929CC"/>
    <w:rsid w:val="00794C76"/>
    <w:rsid w:val="007A1358"/>
    <w:rsid w:val="007A168E"/>
    <w:rsid w:val="007A45E2"/>
    <w:rsid w:val="007A5031"/>
    <w:rsid w:val="007B4F41"/>
    <w:rsid w:val="007B50C0"/>
    <w:rsid w:val="007B75B6"/>
    <w:rsid w:val="007C4D78"/>
    <w:rsid w:val="007D3F3B"/>
    <w:rsid w:val="007E2FA1"/>
    <w:rsid w:val="007E44D2"/>
    <w:rsid w:val="007F112A"/>
    <w:rsid w:val="007F260B"/>
    <w:rsid w:val="007F4CF3"/>
    <w:rsid w:val="00801A14"/>
    <w:rsid w:val="00802E92"/>
    <w:rsid w:val="00803433"/>
    <w:rsid w:val="0080442D"/>
    <w:rsid w:val="00804BFE"/>
    <w:rsid w:val="008161AE"/>
    <w:rsid w:val="00835246"/>
    <w:rsid w:val="00840E08"/>
    <w:rsid w:val="0084146F"/>
    <w:rsid w:val="00843E26"/>
    <w:rsid w:val="0085128C"/>
    <w:rsid w:val="00863489"/>
    <w:rsid w:val="00872FB1"/>
    <w:rsid w:val="008902AB"/>
    <w:rsid w:val="00891E0C"/>
    <w:rsid w:val="008A776F"/>
    <w:rsid w:val="008B4B2F"/>
    <w:rsid w:val="008F3E1E"/>
    <w:rsid w:val="00913062"/>
    <w:rsid w:val="009163FC"/>
    <w:rsid w:val="00917892"/>
    <w:rsid w:val="00940625"/>
    <w:rsid w:val="009460B4"/>
    <w:rsid w:val="009478B1"/>
    <w:rsid w:val="00950671"/>
    <w:rsid w:val="00952164"/>
    <w:rsid w:val="00966903"/>
    <w:rsid w:val="00975AC9"/>
    <w:rsid w:val="00992446"/>
    <w:rsid w:val="009B7FD7"/>
    <w:rsid w:val="009D055C"/>
    <w:rsid w:val="009D10BE"/>
    <w:rsid w:val="009D324A"/>
    <w:rsid w:val="009D62E4"/>
    <w:rsid w:val="009D6BEE"/>
    <w:rsid w:val="009E0CE4"/>
    <w:rsid w:val="009E14C2"/>
    <w:rsid w:val="009E74A2"/>
    <w:rsid w:val="009F08A5"/>
    <w:rsid w:val="00A10C8A"/>
    <w:rsid w:val="00A14C61"/>
    <w:rsid w:val="00A154E8"/>
    <w:rsid w:val="00A15FE6"/>
    <w:rsid w:val="00A21CFB"/>
    <w:rsid w:val="00A245D6"/>
    <w:rsid w:val="00A32BF5"/>
    <w:rsid w:val="00A378F5"/>
    <w:rsid w:val="00A4351D"/>
    <w:rsid w:val="00A53ECC"/>
    <w:rsid w:val="00A63864"/>
    <w:rsid w:val="00A671BC"/>
    <w:rsid w:val="00A74A4E"/>
    <w:rsid w:val="00A83647"/>
    <w:rsid w:val="00AA2D47"/>
    <w:rsid w:val="00AA599C"/>
    <w:rsid w:val="00AC2A23"/>
    <w:rsid w:val="00AC5975"/>
    <w:rsid w:val="00AD6D76"/>
    <w:rsid w:val="00AE0ED8"/>
    <w:rsid w:val="00AF0D18"/>
    <w:rsid w:val="00B00B58"/>
    <w:rsid w:val="00B0498A"/>
    <w:rsid w:val="00B05B9C"/>
    <w:rsid w:val="00B1694E"/>
    <w:rsid w:val="00B26811"/>
    <w:rsid w:val="00B26CFC"/>
    <w:rsid w:val="00B351CB"/>
    <w:rsid w:val="00B522E3"/>
    <w:rsid w:val="00B5452D"/>
    <w:rsid w:val="00B54D47"/>
    <w:rsid w:val="00B70E94"/>
    <w:rsid w:val="00B74D36"/>
    <w:rsid w:val="00B81A3D"/>
    <w:rsid w:val="00B83733"/>
    <w:rsid w:val="00B90B1A"/>
    <w:rsid w:val="00B94401"/>
    <w:rsid w:val="00BB296F"/>
    <w:rsid w:val="00BC292F"/>
    <w:rsid w:val="00BD3129"/>
    <w:rsid w:val="00BD3788"/>
    <w:rsid w:val="00BE23F1"/>
    <w:rsid w:val="00BE2B30"/>
    <w:rsid w:val="00C04209"/>
    <w:rsid w:val="00C16FC4"/>
    <w:rsid w:val="00C30EBE"/>
    <w:rsid w:val="00C341F5"/>
    <w:rsid w:val="00C3465B"/>
    <w:rsid w:val="00C50340"/>
    <w:rsid w:val="00C60C7C"/>
    <w:rsid w:val="00C63C8D"/>
    <w:rsid w:val="00C677A8"/>
    <w:rsid w:val="00C7012A"/>
    <w:rsid w:val="00C70356"/>
    <w:rsid w:val="00C73CDC"/>
    <w:rsid w:val="00C74C6B"/>
    <w:rsid w:val="00C77962"/>
    <w:rsid w:val="00C77EDF"/>
    <w:rsid w:val="00C82AED"/>
    <w:rsid w:val="00C958D9"/>
    <w:rsid w:val="00C96AF9"/>
    <w:rsid w:val="00CA1038"/>
    <w:rsid w:val="00CB382C"/>
    <w:rsid w:val="00CB5738"/>
    <w:rsid w:val="00CC77FC"/>
    <w:rsid w:val="00CD2578"/>
    <w:rsid w:val="00CE0C93"/>
    <w:rsid w:val="00CE234E"/>
    <w:rsid w:val="00CE6F75"/>
    <w:rsid w:val="00CE722C"/>
    <w:rsid w:val="00CF038D"/>
    <w:rsid w:val="00CF12F4"/>
    <w:rsid w:val="00D04EFA"/>
    <w:rsid w:val="00D04F0E"/>
    <w:rsid w:val="00D23E4D"/>
    <w:rsid w:val="00D36828"/>
    <w:rsid w:val="00D4092F"/>
    <w:rsid w:val="00D51619"/>
    <w:rsid w:val="00D551A7"/>
    <w:rsid w:val="00D564E9"/>
    <w:rsid w:val="00D845C0"/>
    <w:rsid w:val="00D8594D"/>
    <w:rsid w:val="00D94D2F"/>
    <w:rsid w:val="00DA7FA8"/>
    <w:rsid w:val="00DB3E8B"/>
    <w:rsid w:val="00DB3EEF"/>
    <w:rsid w:val="00DB6AAD"/>
    <w:rsid w:val="00DC1872"/>
    <w:rsid w:val="00DC4A55"/>
    <w:rsid w:val="00DD0DDF"/>
    <w:rsid w:val="00DD3D66"/>
    <w:rsid w:val="00DE0BDB"/>
    <w:rsid w:val="00DE7FC8"/>
    <w:rsid w:val="00DF05AD"/>
    <w:rsid w:val="00DF49AC"/>
    <w:rsid w:val="00DF4F02"/>
    <w:rsid w:val="00DF5B49"/>
    <w:rsid w:val="00DF65E2"/>
    <w:rsid w:val="00E02CBE"/>
    <w:rsid w:val="00E059CD"/>
    <w:rsid w:val="00E06D93"/>
    <w:rsid w:val="00E16FB5"/>
    <w:rsid w:val="00E23A18"/>
    <w:rsid w:val="00E2760E"/>
    <w:rsid w:val="00E322A6"/>
    <w:rsid w:val="00E34228"/>
    <w:rsid w:val="00E36196"/>
    <w:rsid w:val="00E4056C"/>
    <w:rsid w:val="00E428C9"/>
    <w:rsid w:val="00E44A6A"/>
    <w:rsid w:val="00E45F9A"/>
    <w:rsid w:val="00E5496C"/>
    <w:rsid w:val="00E63564"/>
    <w:rsid w:val="00E63C79"/>
    <w:rsid w:val="00E648A1"/>
    <w:rsid w:val="00E754FA"/>
    <w:rsid w:val="00E95379"/>
    <w:rsid w:val="00EA526B"/>
    <w:rsid w:val="00EA6D23"/>
    <w:rsid w:val="00EC2C94"/>
    <w:rsid w:val="00EC2F34"/>
    <w:rsid w:val="00EC556F"/>
    <w:rsid w:val="00ED29C5"/>
    <w:rsid w:val="00EE6340"/>
    <w:rsid w:val="00EF0E41"/>
    <w:rsid w:val="00EF4300"/>
    <w:rsid w:val="00F14E3D"/>
    <w:rsid w:val="00F165D8"/>
    <w:rsid w:val="00F16E91"/>
    <w:rsid w:val="00F17275"/>
    <w:rsid w:val="00F1743A"/>
    <w:rsid w:val="00F26D3E"/>
    <w:rsid w:val="00F30FA1"/>
    <w:rsid w:val="00F35C9D"/>
    <w:rsid w:val="00F435DC"/>
    <w:rsid w:val="00F5647B"/>
    <w:rsid w:val="00F60591"/>
    <w:rsid w:val="00F60FDC"/>
    <w:rsid w:val="00F61C0F"/>
    <w:rsid w:val="00F61CC2"/>
    <w:rsid w:val="00F76B92"/>
    <w:rsid w:val="00F906E1"/>
    <w:rsid w:val="00F949E9"/>
    <w:rsid w:val="00F95E47"/>
    <w:rsid w:val="00FA6ACD"/>
    <w:rsid w:val="00FB2109"/>
    <w:rsid w:val="00FC4063"/>
    <w:rsid w:val="00FC6263"/>
    <w:rsid w:val="00FD05CE"/>
    <w:rsid w:val="00FD76A8"/>
    <w:rsid w:val="00FD77BC"/>
    <w:rsid w:val="00FD789B"/>
    <w:rsid w:val="00FF35A0"/>
    <w:rsid w:val="050B5A6B"/>
    <w:rsid w:val="0BB200D6"/>
    <w:rsid w:val="0BBFE371"/>
    <w:rsid w:val="0F7FCCBB"/>
    <w:rsid w:val="0FFE313C"/>
    <w:rsid w:val="1E3B9126"/>
    <w:rsid w:val="1E6F7C46"/>
    <w:rsid w:val="1F772163"/>
    <w:rsid w:val="1FEDAFB6"/>
    <w:rsid w:val="25FB4512"/>
    <w:rsid w:val="26FB0FD6"/>
    <w:rsid w:val="2A253EF0"/>
    <w:rsid w:val="2A7DD84B"/>
    <w:rsid w:val="2DEFC8FA"/>
    <w:rsid w:val="2DF978BB"/>
    <w:rsid w:val="2EBB339F"/>
    <w:rsid w:val="2F6900DE"/>
    <w:rsid w:val="2F76F854"/>
    <w:rsid w:val="2FAA8F91"/>
    <w:rsid w:val="2FEF4A16"/>
    <w:rsid w:val="34BFF17A"/>
    <w:rsid w:val="357F0155"/>
    <w:rsid w:val="377FD5D2"/>
    <w:rsid w:val="37D5C0B8"/>
    <w:rsid w:val="37FFC36D"/>
    <w:rsid w:val="38ED4221"/>
    <w:rsid w:val="3CFAFB3D"/>
    <w:rsid w:val="3D7B97DD"/>
    <w:rsid w:val="3DEFED5E"/>
    <w:rsid w:val="3EF7E6FC"/>
    <w:rsid w:val="3EFA1EA8"/>
    <w:rsid w:val="3F7CA2D0"/>
    <w:rsid w:val="3F7E62AB"/>
    <w:rsid w:val="3FD6D2B5"/>
    <w:rsid w:val="3FF4A203"/>
    <w:rsid w:val="3FF76BE1"/>
    <w:rsid w:val="3FFF19CF"/>
    <w:rsid w:val="435F5035"/>
    <w:rsid w:val="4F9F9D8B"/>
    <w:rsid w:val="4FA9C33E"/>
    <w:rsid w:val="4FBEFDE8"/>
    <w:rsid w:val="4FCF66EB"/>
    <w:rsid w:val="52FC50B3"/>
    <w:rsid w:val="55F4E81F"/>
    <w:rsid w:val="57397A8A"/>
    <w:rsid w:val="573F97DC"/>
    <w:rsid w:val="59CF7B28"/>
    <w:rsid w:val="5AFFB9FC"/>
    <w:rsid w:val="5B613E57"/>
    <w:rsid w:val="5BDF429D"/>
    <w:rsid w:val="5BEA65A8"/>
    <w:rsid w:val="5CC607E2"/>
    <w:rsid w:val="5D7BF0DF"/>
    <w:rsid w:val="5D7FB094"/>
    <w:rsid w:val="5DBFFBD6"/>
    <w:rsid w:val="5DFF9977"/>
    <w:rsid w:val="5EFB75D2"/>
    <w:rsid w:val="5FEFBD24"/>
    <w:rsid w:val="5FF9CBE9"/>
    <w:rsid w:val="5FFF49FF"/>
    <w:rsid w:val="613C79AF"/>
    <w:rsid w:val="63FDFCD1"/>
    <w:rsid w:val="66E5776C"/>
    <w:rsid w:val="66ECB899"/>
    <w:rsid w:val="6757E962"/>
    <w:rsid w:val="6955792A"/>
    <w:rsid w:val="698FBB8D"/>
    <w:rsid w:val="6BFBA03D"/>
    <w:rsid w:val="6D8630C2"/>
    <w:rsid w:val="6DEBDD11"/>
    <w:rsid w:val="6EF5DD6E"/>
    <w:rsid w:val="6EFA869B"/>
    <w:rsid w:val="6FBD5A03"/>
    <w:rsid w:val="6FD4AA9A"/>
    <w:rsid w:val="6FD78610"/>
    <w:rsid w:val="6FDE1DF8"/>
    <w:rsid w:val="75ED7F85"/>
    <w:rsid w:val="769AE400"/>
    <w:rsid w:val="76F8B26A"/>
    <w:rsid w:val="777D6CC0"/>
    <w:rsid w:val="77BF3788"/>
    <w:rsid w:val="77CFF4FE"/>
    <w:rsid w:val="77D848F1"/>
    <w:rsid w:val="77EF3D30"/>
    <w:rsid w:val="77F36539"/>
    <w:rsid w:val="77FF4DCF"/>
    <w:rsid w:val="79AFBFDF"/>
    <w:rsid w:val="79EDFCF8"/>
    <w:rsid w:val="7AF7E5FF"/>
    <w:rsid w:val="7B1B09FF"/>
    <w:rsid w:val="7B3FF7C2"/>
    <w:rsid w:val="7B477CFC"/>
    <w:rsid w:val="7B5F46E1"/>
    <w:rsid w:val="7B970B2B"/>
    <w:rsid w:val="7BBF95A6"/>
    <w:rsid w:val="7BF75645"/>
    <w:rsid w:val="7BFD07B6"/>
    <w:rsid w:val="7BFD0EAC"/>
    <w:rsid w:val="7BFEF86D"/>
    <w:rsid w:val="7C60AA8D"/>
    <w:rsid w:val="7C8C4B69"/>
    <w:rsid w:val="7CFF5A91"/>
    <w:rsid w:val="7D3B9AD0"/>
    <w:rsid w:val="7D6D8DD8"/>
    <w:rsid w:val="7D7FD868"/>
    <w:rsid w:val="7D8C52D0"/>
    <w:rsid w:val="7DAA48B5"/>
    <w:rsid w:val="7DF78DB7"/>
    <w:rsid w:val="7DF7C2B9"/>
    <w:rsid w:val="7DFE29ED"/>
    <w:rsid w:val="7DFFC3B6"/>
    <w:rsid w:val="7E7C5EAB"/>
    <w:rsid w:val="7E7F44F9"/>
    <w:rsid w:val="7E7FEDED"/>
    <w:rsid w:val="7E9FBDFD"/>
    <w:rsid w:val="7EBAA0B6"/>
    <w:rsid w:val="7EDFE93F"/>
    <w:rsid w:val="7EF03972"/>
    <w:rsid w:val="7EF4A9F3"/>
    <w:rsid w:val="7F3944EE"/>
    <w:rsid w:val="7F7B34E1"/>
    <w:rsid w:val="7FAF0592"/>
    <w:rsid w:val="7FB7C9F3"/>
    <w:rsid w:val="7FBE1D00"/>
    <w:rsid w:val="7FD70755"/>
    <w:rsid w:val="7FD8B6B8"/>
    <w:rsid w:val="7FDEB994"/>
    <w:rsid w:val="7FDFABAD"/>
    <w:rsid w:val="7FEF0967"/>
    <w:rsid w:val="7FF73CA8"/>
    <w:rsid w:val="7FFBEF2E"/>
    <w:rsid w:val="7FFC63CA"/>
    <w:rsid w:val="7FFE6B57"/>
    <w:rsid w:val="7FFEF598"/>
    <w:rsid w:val="7FFF0577"/>
    <w:rsid w:val="7FFFDA29"/>
    <w:rsid w:val="8B7FA2C4"/>
    <w:rsid w:val="8DC3EEA5"/>
    <w:rsid w:val="8F0F8E26"/>
    <w:rsid w:val="8F7DB3CF"/>
    <w:rsid w:val="92DF4A80"/>
    <w:rsid w:val="93F7FB62"/>
    <w:rsid w:val="9AF668C9"/>
    <w:rsid w:val="9BFBBDA9"/>
    <w:rsid w:val="9FA7D14A"/>
    <w:rsid w:val="9FBE186F"/>
    <w:rsid w:val="A5FF24D4"/>
    <w:rsid w:val="ADD520E7"/>
    <w:rsid w:val="AEFB1CE5"/>
    <w:rsid w:val="AFBE0428"/>
    <w:rsid w:val="AFBFA9F0"/>
    <w:rsid w:val="AFFB0F91"/>
    <w:rsid w:val="B0DFFDC6"/>
    <w:rsid w:val="B35A0094"/>
    <w:rsid w:val="B4BA26DA"/>
    <w:rsid w:val="B52F7A66"/>
    <w:rsid w:val="B637A19A"/>
    <w:rsid w:val="BB670760"/>
    <w:rsid w:val="BBEDC76A"/>
    <w:rsid w:val="BBF6DCCF"/>
    <w:rsid w:val="BDDF1B4C"/>
    <w:rsid w:val="BDFDE94D"/>
    <w:rsid w:val="BDFF6708"/>
    <w:rsid w:val="BEBEE374"/>
    <w:rsid w:val="BF792BB7"/>
    <w:rsid w:val="BF7F324A"/>
    <w:rsid w:val="BFBF8F3F"/>
    <w:rsid w:val="BFC9304E"/>
    <w:rsid w:val="BFFB39EB"/>
    <w:rsid w:val="BFFF20CB"/>
    <w:rsid w:val="BFFF8AC5"/>
    <w:rsid w:val="C7E2075D"/>
    <w:rsid w:val="CD6EEECE"/>
    <w:rsid w:val="CF777D8F"/>
    <w:rsid w:val="D6FF8258"/>
    <w:rsid w:val="D77F6AD8"/>
    <w:rsid w:val="D7F7F67F"/>
    <w:rsid w:val="D7FF1286"/>
    <w:rsid w:val="DB8E4C89"/>
    <w:rsid w:val="DBBA14FB"/>
    <w:rsid w:val="DD5BC68A"/>
    <w:rsid w:val="DD7E2BBD"/>
    <w:rsid w:val="DDDFEBE2"/>
    <w:rsid w:val="DDEF9D45"/>
    <w:rsid w:val="DEDF49B5"/>
    <w:rsid w:val="DF6B398D"/>
    <w:rsid w:val="E3752683"/>
    <w:rsid w:val="EBDFE368"/>
    <w:rsid w:val="EE5E8A52"/>
    <w:rsid w:val="EE95ABD9"/>
    <w:rsid w:val="EECB475E"/>
    <w:rsid w:val="EEF38288"/>
    <w:rsid w:val="EFCF7076"/>
    <w:rsid w:val="EFDF1126"/>
    <w:rsid w:val="EFEF2983"/>
    <w:rsid w:val="EFEFD280"/>
    <w:rsid w:val="EFFB6494"/>
    <w:rsid w:val="F2F682DF"/>
    <w:rsid w:val="F3376129"/>
    <w:rsid w:val="F5FC031E"/>
    <w:rsid w:val="F6E25F18"/>
    <w:rsid w:val="F723270F"/>
    <w:rsid w:val="F7296AC4"/>
    <w:rsid w:val="F7EB9AFE"/>
    <w:rsid w:val="F7FA2FB4"/>
    <w:rsid w:val="F7FA6373"/>
    <w:rsid w:val="F7FE0BBD"/>
    <w:rsid w:val="FA67B245"/>
    <w:rsid w:val="FA7D4329"/>
    <w:rsid w:val="FAFB948E"/>
    <w:rsid w:val="FBADE3B9"/>
    <w:rsid w:val="FBBB5AD0"/>
    <w:rsid w:val="FBE329AB"/>
    <w:rsid w:val="FBEF3D99"/>
    <w:rsid w:val="FBFBB990"/>
    <w:rsid w:val="FD3E3443"/>
    <w:rsid w:val="FD7F250E"/>
    <w:rsid w:val="FDBCEECE"/>
    <w:rsid w:val="FDBF077C"/>
    <w:rsid w:val="FDEFCDD9"/>
    <w:rsid w:val="FDF51234"/>
    <w:rsid w:val="FDFF8DDF"/>
    <w:rsid w:val="FDFFF044"/>
    <w:rsid w:val="FE7C2BAC"/>
    <w:rsid w:val="FEEDC2D1"/>
    <w:rsid w:val="FEF58722"/>
    <w:rsid w:val="FEFB2AA5"/>
    <w:rsid w:val="FF35990D"/>
    <w:rsid w:val="FF3F7D88"/>
    <w:rsid w:val="FF5AD71D"/>
    <w:rsid w:val="FF5D8A54"/>
    <w:rsid w:val="FF6F497D"/>
    <w:rsid w:val="FF7DF876"/>
    <w:rsid w:val="FF7E1514"/>
    <w:rsid w:val="FF7F7C97"/>
    <w:rsid w:val="FF9F78C4"/>
    <w:rsid w:val="FFB627A6"/>
    <w:rsid w:val="FFD9B689"/>
    <w:rsid w:val="FFDE9B8A"/>
    <w:rsid w:val="FFDF32EE"/>
    <w:rsid w:val="FFE19458"/>
    <w:rsid w:val="FFEC408B"/>
    <w:rsid w:val="FFECFC96"/>
    <w:rsid w:val="FFEF96AF"/>
    <w:rsid w:val="FFEFD673"/>
    <w:rsid w:val="FFFE9B31"/>
    <w:rsid w:val="FFFFF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iPriority w:val="99"/>
    <w:pPr>
      <w:jc w:val="left"/>
    </w:pPr>
  </w:style>
  <w:style w:type="paragraph" w:styleId="4">
    <w:name w:val="Body Text"/>
    <w:basedOn w:val="1"/>
    <w:link w:val="19"/>
    <w:uiPriority w:val="99"/>
    <w:pPr>
      <w:spacing w:line="440" w:lineRule="exact"/>
      <w:jc w:val="center"/>
    </w:pPr>
    <w:rPr>
      <w:rFonts w:ascii="方正小标宋简体" w:eastAsia="方正小标宋简体"/>
    </w:rPr>
  </w:style>
  <w:style w:type="paragraph" w:styleId="5">
    <w:name w:val="Body Text Indent"/>
    <w:basedOn w:val="1"/>
    <w:link w:val="20"/>
    <w:uiPriority w:val="99"/>
    <w:pPr>
      <w:spacing w:line="800" w:lineRule="exact"/>
      <w:ind w:firstLine="573"/>
    </w:pPr>
    <w:rPr>
      <w:rFonts w:ascii="仿宋_GB2312"/>
      <w:spacing w:val="46"/>
    </w:rPr>
  </w:style>
  <w:style w:type="paragraph" w:styleId="6">
    <w:name w:val="Plain Text"/>
    <w:basedOn w:val="1"/>
    <w:link w:val="21"/>
    <w:uiPriority w:val="99"/>
    <w:rPr>
      <w:rFonts w:ascii="宋体" w:hAnsi="Courier New" w:eastAsia="宋体" w:cs="Courier New"/>
      <w:sz w:val="21"/>
      <w:szCs w:val="21"/>
    </w:rPr>
  </w:style>
  <w:style w:type="paragraph" w:styleId="7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annotation reference"/>
    <w:basedOn w:val="14"/>
    <w:uiPriority w:val="99"/>
    <w:rPr>
      <w:rFonts w:cs="Times New Roman"/>
      <w:sz w:val="21"/>
      <w:szCs w:val="21"/>
    </w:rPr>
  </w:style>
  <w:style w:type="character" w:customStyle="1" w:styleId="17">
    <w:name w:val="Heading 1 Char"/>
    <w:basedOn w:val="14"/>
    <w:link w:val="2"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8">
    <w:name w:val="Comment Text Char"/>
    <w:basedOn w:val="14"/>
    <w:link w:val="3"/>
    <w:semiHidden/>
    <w:locked/>
    <w:uiPriority w:val="99"/>
    <w:rPr>
      <w:rFonts w:eastAsia="仿宋_GB2312" w:cs="Times New Roman"/>
      <w:sz w:val="20"/>
      <w:szCs w:val="20"/>
    </w:rPr>
  </w:style>
  <w:style w:type="character" w:customStyle="1" w:styleId="19">
    <w:name w:val="Body Text Char"/>
    <w:basedOn w:val="14"/>
    <w:link w:val="4"/>
    <w:semiHidden/>
    <w:locked/>
    <w:uiPriority w:val="99"/>
    <w:rPr>
      <w:rFonts w:eastAsia="仿宋_GB2312" w:cs="Times New Roman"/>
      <w:sz w:val="20"/>
      <w:szCs w:val="20"/>
    </w:rPr>
  </w:style>
  <w:style w:type="character" w:customStyle="1" w:styleId="20">
    <w:name w:val="Body Text Indent Char"/>
    <w:basedOn w:val="14"/>
    <w:link w:val="5"/>
    <w:semiHidden/>
    <w:locked/>
    <w:uiPriority w:val="99"/>
    <w:rPr>
      <w:rFonts w:eastAsia="仿宋_GB2312" w:cs="Times New Roman"/>
      <w:sz w:val="20"/>
      <w:szCs w:val="20"/>
    </w:rPr>
  </w:style>
  <w:style w:type="character" w:customStyle="1" w:styleId="21">
    <w:name w:val="Plain Text Char"/>
    <w:basedOn w:val="14"/>
    <w:link w:val="6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4"/>
    <w:link w:val="7"/>
    <w:semiHidden/>
    <w:locked/>
    <w:uiPriority w:val="99"/>
    <w:rPr>
      <w:rFonts w:eastAsia="仿宋_GB2312" w:cs="Times New Roman"/>
      <w:sz w:val="20"/>
      <w:szCs w:val="20"/>
    </w:rPr>
  </w:style>
  <w:style w:type="character" w:customStyle="1" w:styleId="23">
    <w:name w:val="Balloon Text Char"/>
    <w:basedOn w:val="14"/>
    <w:link w:val="8"/>
    <w:semiHidden/>
    <w:qFormat/>
    <w:locked/>
    <w:uiPriority w:val="99"/>
    <w:rPr>
      <w:rFonts w:eastAsia="仿宋_GB2312" w:cs="Times New Roman"/>
      <w:sz w:val="2"/>
    </w:rPr>
  </w:style>
  <w:style w:type="character" w:customStyle="1" w:styleId="24">
    <w:name w:val="Footer Char"/>
    <w:basedOn w:val="14"/>
    <w:link w:val="9"/>
    <w:qFormat/>
    <w:locked/>
    <w:uiPriority w:val="99"/>
    <w:rPr>
      <w:rFonts w:eastAsia="仿宋_GB2312" w:cs="Times New Roman"/>
      <w:kern w:val="2"/>
      <w:sz w:val="18"/>
    </w:rPr>
  </w:style>
  <w:style w:type="character" w:customStyle="1" w:styleId="25">
    <w:name w:val="Header Char"/>
    <w:basedOn w:val="14"/>
    <w:link w:val="10"/>
    <w:semiHidden/>
    <w:qFormat/>
    <w:locked/>
    <w:uiPriority w:val="99"/>
    <w:rPr>
      <w:rFonts w:eastAsia="仿宋_GB2312" w:cs="Times New Roman"/>
      <w:sz w:val="18"/>
      <w:szCs w:val="18"/>
    </w:rPr>
  </w:style>
  <w:style w:type="paragraph" w:customStyle="1" w:styleId="26">
    <w:name w:val="Char Char Char Char Char Char1 Char Char Char Char"/>
    <w:basedOn w:val="1"/>
    <w:uiPriority w:val="99"/>
    <w:rPr>
      <w:rFonts w:ascii="Calibri" w:hAnsi="Calibri" w:eastAsia="宋体"/>
      <w:sz w:val="21"/>
      <w:szCs w:val="24"/>
    </w:rPr>
  </w:style>
  <w:style w:type="paragraph" w:customStyle="1" w:styleId="27">
    <w:name w:val="Char"/>
    <w:basedOn w:val="1"/>
    <w:uiPriority w:val="99"/>
    <w:pPr>
      <w:widowControl/>
      <w:jc w:val="left"/>
    </w:pPr>
    <w:rPr>
      <w:rFonts w:eastAsia="宋体"/>
      <w:sz w:val="21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1643</Words>
  <Characters>1706</Characters>
  <Lines>0</Lines>
  <Paragraphs>0</Paragraphs>
  <TotalTime>5</TotalTime>
  <ScaleCrop>false</ScaleCrop>
  <LinksUpToDate>false</LinksUpToDate>
  <CharactersWithSpaces>1709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2022-03-07T02:06:00Z</dcterms:created>
  <dc:creator>lx</dc:creator>
  <cp:lastModifiedBy>Administrator</cp:lastModifiedBy>
  <cp:lastPrinted>2020-04-22T19:12:00Z</cp:lastPrinted>
  <dcterms:modified xsi:type="dcterms:W3CDTF">2022-03-30T01:00:47Z</dcterms:modified>
  <dc:title>鲁交会[2001] 32号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DBB01DEAC7D74EB99C077342575992E0</vt:lpwstr>
  </property>
</Properties>
</file>