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6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3"/>
        <w:gridCol w:w="1701"/>
        <w:gridCol w:w="1432"/>
        <w:gridCol w:w="1339"/>
        <w:gridCol w:w="1665"/>
        <w:gridCol w:w="1020"/>
        <w:gridCol w:w="1785"/>
        <w:gridCol w:w="1575"/>
        <w:gridCol w:w="3581"/>
        <w:gridCol w:w="9"/>
      </w:tblGrid>
      <w:tr w14:paraId="7C98D1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453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DA4B4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F7D24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部门</w:t>
            </w:r>
          </w:p>
        </w:tc>
        <w:tc>
          <w:tcPr>
            <w:tcW w:w="14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FE61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33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6EDD4E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66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CDE0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抽查内容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DA7FF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D6BBD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检查方式</w:t>
            </w: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0FF77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</w:t>
            </w:r>
          </w:p>
          <w:p w14:paraId="2C42D7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及频次</w:t>
            </w:r>
          </w:p>
        </w:tc>
        <w:tc>
          <w:tcPr>
            <w:tcW w:w="359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90910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检查依据</w:t>
            </w:r>
          </w:p>
        </w:tc>
      </w:tr>
      <w:tr w14:paraId="1CDE8F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5" w:hRule="atLeast"/>
          <w:jc w:val="center"/>
        </w:trPr>
        <w:tc>
          <w:tcPr>
            <w:tcW w:w="453" w:type="dxa"/>
            <w:tcBorders>
              <w:top w:val="single" w:color="00000A" w:sz="6" w:space="0"/>
              <w:left w:val="single" w:color="00000A" w:sz="6" w:space="0"/>
              <w:bottom w:val="single" w:color="auto" w:sz="4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F2DAE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310D2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8467B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对海域使用的法人或特定自然人的行政检查</w:t>
            </w:r>
          </w:p>
        </w:tc>
        <w:tc>
          <w:tcPr>
            <w:tcW w:w="133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574D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青岛信嘉辉海洋生态科技有限公司</w:t>
            </w:r>
          </w:p>
        </w:tc>
        <w:tc>
          <w:tcPr>
            <w:tcW w:w="166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5D162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海域使用权终止后有关义务履行情况；海域使用权人履行义务情况；海域使用许可实施情况；海域使用权取得情况。</w:t>
            </w:r>
          </w:p>
        </w:tc>
        <w:tc>
          <w:tcPr>
            <w:tcW w:w="102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099CFF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428032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2113B1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%；1次</w:t>
            </w:r>
          </w:p>
        </w:tc>
        <w:tc>
          <w:tcPr>
            <w:tcW w:w="3590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</w:tcBorders>
            <w:shd w:val="clear" w:color="auto" w:fill="FFFFFF"/>
            <w:tcMar>
              <w:left w:w="115" w:type="dxa"/>
              <w:right w:w="115" w:type="dxa"/>
            </w:tcMar>
            <w:vAlign w:val="center"/>
          </w:tcPr>
          <w:p w14:paraId="72CF2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1.《中华人民共和国海域使用管理法》（2001年10月27日全国人大第24次会议通过）第七条、第三十七条。</w:t>
            </w:r>
          </w:p>
          <w:p w14:paraId="6E26A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2.《山东省海域使用管理条例》（2003年9月通过，2015年7月修订）第五条。</w:t>
            </w:r>
          </w:p>
        </w:tc>
      </w:tr>
      <w:tr w14:paraId="02F76A3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2841" w:hRule="atLeast"/>
          <w:jc w:val="center"/>
        </w:trPr>
        <w:tc>
          <w:tcPr>
            <w:tcW w:w="453" w:type="dxa"/>
            <w:shd w:val="clear" w:color="auto" w:fill="FFFFFF"/>
            <w:vAlign w:val="center"/>
          </w:tcPr>
          <w:p w14:paraId="30D1D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13C7D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青岛市即墨区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>海洋发展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局</w:t>
            </w:r>
          </w:p>
        </w:tc>
        <w:tc>
          <w:tcPr>
            <w:tcW w:w="1432" w:type="dxa"/>
            <w:shd w:val="clear" w:color="auto" w:fill="FFFFFF"/>
            <w:vAlign w:val="center"/>
          </w:tcPr>
          <w:p w14:paraId="607A2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对无居民海岛开发利用的法人或特定自然人的行政检查</w:t>
            </w:r>
          </w:p>
        </w:tc>
        <w:tc>
          <w:tcPr>
            <w:tcW w:w="1339" w:type="dxa"/>
            <w:shd w:val="clear" w:color="auto" w:fill="FFFFFF"/>
            <w:vAlign w:val="center"/>
          </w:tcPr>
          <w:p w14:paraId="035ED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青岛参腾鸿业生物科技有限公司</w:t>
            </w:r>
          </w:p>
        </w:tc>
        <w:tc>
          <w:tcPr>
            <w:tcW w:w="1665" w:type="dxa"/>
            <w:shd w:val="clear" w:color="auto" w:fill="FFFFFF"/>
            <w:vAlign w:val="center"/>
          </w:tcPr>
          <w:p w14:paraId="1BD7D0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未经批准利用的无居民海岛，是否维持现状；无居民海岛地形地貌的情况；无居民海岛海岸线的情况；特定禁止性活动。</w:t>
            </w:r>
          </w:p>
        </w:tc>
        <w:tc>
          <w:tcPr>
            <w:tcW w:w="1020" w:type="dxa"/>
            <w:shd w:val="clear" w:color="auto" w:fill="FFFFFF"/>
            <w:vAlign w:val="center"/>
          </w:tcPr>
          <w:p w14:paraId="1B07E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785" w:type="dxa"/>
            <w:shd w:val="clear" w:color="auto" w:fill="FFFFFF"/>
            <w:vAlign w:val="center"/>
          </w:tcPr>
          <w:p w14:paraId="45712C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一般检查事项</w:t>
            </w:r>
          </w:p>
        </w:tc>
        <w:tc>
          <w:tcPr>
            <w:tcW w:w="1575" w:type="dxa"/>
            <w:shd w:val="clear" w:color="auto" w:fill="FFFFFF"/>
            <w:vAlign w:val="center"/>
          </w:tcPr>
          <w:p w14:paraId="412E69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100%；1次</w:t>
            </w:r>
          </w:p>
        </w:tc>
        <w:tc>
          <w:tcPr>
            <w:tcW w:w="3581" w:type="dxa"/>
            <w:shd w:val="clear" w:color="auto" w:fill="FFFFFF"/>
            <w:vAlign w:val="center"/>
          </w:tcPr>
          <w:p w14:paraId="7AF6C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</w:rPr>
              <w:t>《中华人民共和国海岛保护法》（2009年12月26日全国人大第12次会议通过）第五条、第四十一条。</w:t>
            </w:r>
          </w:p>
        </w:tc>
      </w:tr>
    </w:tbl>
    <w:p w14:paraId="60FD3B39">
      <w:pPr>
        <w:spacing w:line="240" w:lineRule="auto"/>
        <w:rPr>
          <w:rFonts w:hint="eastAsia" w:ascii="仿宋_GB2312" w:hAnsi="仿宋_GB2312" w:eastAsia="仿宋_GB2312" w:cs="仿宋_GB2312"/>
          <w:sz w:val="21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2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DUyMTkzM2IyY2JhMjA3YzgwYzk4MWFmYWMzNDkifQ=="/>
  </w:docVars>
  <w:rsids>
    <w:rsidRoot w:val="00000000"/>
    <w:rsid w:val="1CCE1597"/>
    <w:rsid w:val="2A741A1F"/>
    <w:rsid w:val="2FD01B17"/>
    <w:rsid w:val="35471228"/>
    <w:rsid w:val="4CA11D04"/>
    <w:rsid w:val="4E9C2D43"/>
    <w:rsid w:val="50D04559"/>
    <w:rsid w:val="609F079B"/>
    <w:rsid w:val="7EA0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401</Characters>
  <Lines>0</Lines>
  <Paragraphs>0</Paragraphs>
  <TotalTime>11</TotalTime>
  <ScaleCrop>false</ScaleCrop>
  <LinksUpToDate>false</LinksUpToDate>
  <CharactersWithSpaces>401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2022-06-29T08:22:00Z</dcterms:created>
  <dc:creator>Administrator</dc:creator>
  <cp:lastModifiedBy>小乐</cp:lastModifiedBy>
  <dcterms:modified xsi:type="dcterms:W3CDTF">2024-12-23T01:27:12Z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2CFD9738172E485BA8A5BC99AF810E37_13</vt:lpwstr>
  </property>
</Properties>
</file>