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632" w:firstLineChars="200"/>
        <w:jc w:val="right"/>
        <w:rPr>
          <w:rFonts w:hint="eastAsia" w:ascii="仿宋_GB2312" w:eastAsia="仿宋_GB2312"/>
        </w:rPr>
      </w:pPr>
    </w:p>
    <w:p>
      <w:pPr>
        <w:ind w:firstLine="632" w:firstLineChars="200"/>
        <w:jc w:val="right"/>
        <w:rPr>
          <w:rFonts w:hint="eastAsia" w:ascii="仿宋_GB2312" w:eastAsia="仿宋_GB2312"/>
        </w:rPr>
      </w:pPr>
    </w:p>
    <w:p>
      <w:pPr>
        <w:jc w:val="center"/>
        <w:rPr>
          <w:rFonts w:hint="eastAsia" w:ascii="仿宋_GB2312" w:eastAsia="仿宋_GB2312"/>
        </w:rPr>
      </w:pPr>
    </w:p>
    <w:p>
      <w:pPr>
        <w:jc w:val="center"/>
        <w:rPr>
          <w:rFonts w:hint="eastAsia" w:ascii="仿宋_GB2312" w:eastAsia="仿宋_GB2312"/>
        </w:rPr>
      </w:pPr>
    </w:p>
    <w:p>
      <w:pPr>
        <w:jc w:val="center"/>
        <w:rPr>
          <w:rFonts w:hint="eastAsia" w:ascii="方正小标宋简体" w:eastAsia="方正小标宋简体"/>
          <w:spacing w:val="60"/>
          <w:sz w:val="74"/>
        </w:rPr>
      </w:pPr>
      <w:r>
        <w:rPr>
          <w:rFonts w:hint="eastAsia" w:ascii="方正小标宋简体" w:eastAsia="方正小标宋简体"/>
          <w:spacing w:val="60"/>
          <w:sz w:val="74"/>
        </w:rPr>
        <w:t>2021年度</w:t>
      </w:r>
    </w:p>
    <w:p>
      <w:pPr>
        <w:jc w:val="center"/>
        <w:rPr>
          <w:rFonts w:hint="eastAsia" w:ascii="方正小标宋简体" w:eastAsia="方正小标宋简体"/>
          <w:spacing w:val="60"/>
          <w:sz w:val="74"/>
        </w:rPr>
      </w:pPr>
      <w:r>
        <w:rPr>
          <w:rFonts w:hint="eastAsia" w:ascii="方正小标宋简体" w:eastAsia="方正小标宋简体"/>
          <w:spacing w:val="60"/>
          <w:sz w:val="74"/>
          <w:lang w:val="en-US" w:eastAsia="zh-CN"/>
        </w:rPr>
        <w:t>青岛市即墨区第一职业高级中学</w:t>
      </w:r>
      <w:r>
        <w:rPr>
          <w:rFonts w:hint="eastAsia" w:ascii="方正小标宋简体" w:eastAsia="方正小标宋简体"/>
          <w:spacing w:val="60"/>
          <w:sz w:val="74"/>
        </w:rPr>
        <w:t>决算</w:t>
      </w:r>
    </w:p>
    <w:p>
      <w:pPr>
        <w:jc w:val="center"/>
        <w:rPr>
          <w:rFonts w:hint="eastAsia" w:ascii="楷体_GB2312" w:eastAsia="楷体_GB2312"/>
          <w:b/>
          <w:sz w:val="42"/>
        </w:rPr>
      </w:pPr>
    </w:p>
    <w:p>
      <w:pPr>
        <w:jc w:val="center"/>
        <w:rPr>
          <w:rFonts w:hint="eastAsia" w:ascii="楷体_GB2312" w:eastAsia="楷体_GB2312"/>
          <w:b/>
          <w:sz w:val="42"/>
        </w:rPr>
      </w:pPr>
    </w:p>
    <w:p>
      <w:pPr>
        <w:rPr>
          <w:rFonts w:hint="eastAsia" w:ascii="仿宋_GB2312" w:eastAsia="仿宋_GB2312"/>
        </w:rPr>
      </w:pPr>
    </w:p>
    <w:p>
      <w:pPr>
        <w:spacing w:afterLines="50" w:line="580" w:lineRule="exact"/>
        <w:jc w:val="center"/>
        <w:rPr>
          <w:rFonts w:hint="eastAsia" w:ascii="方正小标宋简体" w:eastAsia="方正小标宋简体"/>
          <w:sz w:val="44"/>
          <w:szCs w:val="44"/>
        </w:rPr>
      </w:pPr>
    </w:p>
    <w:p>
      <w:pPr>
        <w:spacing w:afterLines="50" w:line="580" w:lineRule="exact"/>
        <w:jc w:val="center"/>
        <w:rPr>
          <w:rFonts w:hint="eastAsia" w:ascii="方正小标宋简体" w:eastAsia="方正小标宋简体"/>
          <w:sz w:val="44"/>
          <w:szCs w:val="44"/>
        </w:rPr>
      </w:pPr>
    </w:p>
    <w:p>
      <w:pPr>
        <w:spacing w:afterLines="50" w:line="580" w:lineRule="exact"/>
        <w:jc w:val="center"/>
        <w:rPr>
          <w:rFonts w:hint="eastAsia" w:ascii="方正小标宋简体" w:eastAsia="方正小标宋简体"/>
          <w:sz w:val="44"/>
          <w:szCs w:val="44"/>
        </w:rPr>
      </w:pPr>
    </w:p>
    <w:p>
      <w:pPr>
        <w:spacing w:afterLines="50" w:line="580" w:lineRule="exact"/>
        <w:jc w:val="center"/>
        <w:rPr>
          <w:rFonts w:hint="eastAsia" w:ascii="方正小标宋简体" w:eastAsia="方正小标宋简体"/>
          <w:sz w:val="44"/>
          <w:szCs w:val="44"/>
        </w:rPr>
      </w:pPr>
    </w:p>
    <w:p>
      <w:pPr>
        <w:spacing w:afterLines="50" w:line="580" w:lineRule="exact"/>
        <w:jc w:val="center"/>
        <w:rPr>
          <w:rFonts w:hint="eastAsia" w:ascii="方正小标宋简体" w:eastAsia="方正小标宋简体"/>
          <w:sz w:val="44"/>
          <w:szCs w:val="44"/>
        </w:rPr>
      </w:pPr>
    </w:p>
    <w:p>
      <w:pPr>
        <w:spacing w:afterLines="50" w:line="580" w:lineRule="exact"/>
        <w:jc w:val="center"/>
        <w:rPr>
          <w:rFonts w:hint="eastAsia" w:ascii="方正小标宋简体" w:eastAsia="方正小标宋简体"/>
          <w:sz w:val="44"/>
          <w:szCs w:val="44"/>
        </w:rPr>
      </w:pPr>
    </w:p>
    <w:p>
      <w:pPr>
        <w:spacing w:afterLines="50" w:line="580" w:lineRule="exact"/>
        <w:jc w:val="center"/>
        <w:rPr>
          <w:rFonts w:hint="eastAsia" w:ascii="方正小标宋简体" w:eastAsia="方正小标宋简体"/>
          <w:sz w:val="44"/>
          <w:szCs w:val="44"/>
        </w:rPr>
      </w:pPr>
    </w:p>
    <w:p>
      <w:pPr>
        <w:spacing w:afterLines="50"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目  录</w:t>
      </w:r>
    </w:p>
    <w:p>
      <w:pPr>
        <w:spacing w:line="580" w:lineRule="exact"/>
        <w:ind w:firstLine="316" w:firstLineChars="100"/>
        <w:rPr>
          <w:rFonts w:hint="eastAsia" w:ascii="黑体" w:hAnsi="黑体" w:eastAsia="黑体"/>
        </w:rPr>
      </w:pPr>
      <w:r>
        <w:rPr>
          <w:rFonts w:hint="eastAsia" w:ascii="黑体" w:hAnsi="黑体" w:eastAsia="黑体"/>
        </w:rPr>
        <w:t>第一部分  单位概况</w:t>
      </w:r>
    </w:p>
    <w:p>
      <w:pPr>
        <w:spacing w:line="580" w:lineRule="exact"/>
        <w:ind w:firstLine="632" w:firstLineChars="200"/>
        <w:rPr>
          <w:rFonts w:hint="eastAsia" w:ascii="仿宋_GB2312" w:eastAsia="仿宋_GB2312"/>
        </w:rPr>
      </w:pPr>
      <w:r>
        <w:rPr>
          <w:rFonts w:hint="eastAsia" w:ascii="仿宋_GB2312" w:eastAsia="仿宋_GB2312"/>
        </w:rPr>
        <w:t>一、单位职责</w:t>
      </w:r>
    </w:p>
    <w:p>
      <w:pPr>
        <w:spacing w:line="580" w:lineRule="exact"/>
        <w:ind w:firstLine="632" w:firstLineChars="200"/>
        <w:rPr>
          <w:rFonts w:hint="eastAsia" w:ascii="仿宋_GB2312" w:eastAsia="仿宋_GB2312"/>
        </w:rPr>
      </w:pPr>
      <w:r>
        <w:rPr>
          <w:rFonts w:hint="eastAsia" w:ascii="仿宋_GB2312" w:eastAsia="仿宋_GB2312"/>
        </w:rPr>
        <w:t>二、机构设置</w:t>
      </w:r>
    </w:p>
    <w:p>
      <w:pPr>
        <w:spacing w:line="580" w:lineRule="exact"/>
        <w:ind w:firstLine="316" w:firstLineChars="100"/>
        <w:rPr>
          <w:rFonts w:hint="eastAsia" w:ascii="黑体" w:hAnsi="黑体" w:eastAsia="黑体"/>
        </w:rPr>
      </w:pPr>
      <w:r>
        <w:rPr>
          <w:rFonts w:hint="eastAsia" w:ascii="黑体" w:hAnsi="黑体" w:eastAsia="黑体"/>
        </w:rPr>
        <w:t>第二部分  2021年度单位决算表</w:t>
      </w:r>
    </w:p>
    <w:p>
      <w:pPr>
        <w:spacing w:line="580" w:lineRule="exact"/>
        <w:ind w:firstLine="632" w:firstLineChars="200"/>
        <w:rPr>
          <w:rFonts w:hint="eastAsia" w:ascii="仿宋_GB2312" w:eastAsia="仿宋_GB2312"/>
        </w:rPr>
      </w:pPr>
      <w:r>
        <w:rPr>
          <w:rFonts w:hint="eastAsia" w:ascii="仿宋_GB2312" w:eastAsia="仿宋_GB2312"/>
        </w:rPr>
        <w:t>一、收入支出决算总表</w:t>
      </w:r>
    </w:p>
    <w:p>
      <w:pPr>
        <w:spacing w:line="580" w:lineRule="exact"/>
        <w:ind w:firstLine="632" w:firstLineChars="200"/>
        <w:rPr>
          <w:rFonts w:hint="eastAsia" w:ascii="仿宋_GB2312" w:eastAsia="仿宋_GB2312"/>
        </w:rPr>
      </w:pPr>
      <w:r>
        <w:rPr>
          <w:rFonts w:hint="eastAsia" w:ascii="仿宋_GB2312" w:eastAsia="仿宋_GB2312"/>
        </w:rPr>
        <w:t>二、收入决算表</w:t>
      </w:r>
    </w:p>
    <w:p>
      <w:pPr>
        <w:spacing w:line="580" w:lineRule="exact"/>
        <w:ind w:firstLine="632" w:firstLineChars="200"/>
        <w:rPr>
          <w:rFonts w:hint="eastAsia" w:ascii="仿宋_GB2312" w:eastAsia="仿宋_GB2312"/>
        </w:rPr>
      </w:pPr>
      <w:r>
        <w:rPr>
          <w:rFonts w:hint="eastAsia" w:ascii="仿宋_GB2312" w:eastAsia="仿宋_GB2312"/>
        </w:rPr>
        <w:t>三、支出决算表</w:t>
      </w:r>
    </w:p>
    <w:p>
      <w:pPr>
        <w:spacing w:line="580" w:lineRule="exact"/>
        <w:ind w:firstLine="632" w:firstLineChars="200"/>
        <w:rPr>
          <w:rFonts w:hint="eastAsia" w:ascii="仿宋_GB2312" w:eastAsia="仿宋_GB2312"/>
        </w:rPr>
      </w:pPr>
      <w:r>
        <w:rPr>
          <w:rFonts w:hint="eastAsia" w:ascii="仿宋_GB2312" w:eastAsia="仿宋_GB2312"/>
        </w:rPr>
        <w:t>四、财政拨款收入支出决算总表</w:t>
      </w:r>
    </w:p>
    <w:p>
      <w:pPr>
        <w:spacing w:line="580" w:lineRule="exact"/>
        <w:ind w:firstLine="632" w:firstLineChars="200"/>
        <w:rPr>
          <w:rFonts w:hint="eastAsia" w:ascii="仿宋_GB2312" w:eastAsia="仿宋_GB2312"/>
        </w:rPr>
      </w:pPr>
      <w:r>
        <w:rPr>
          <w:rFonts w:hint="eastAsia" w:ascii="仿宋_GB2312" w:eastAsia="仿宋_GB2312"/>
        </w:rPr>
        <w:t>五、一般公共预算财政拨款支出决算表</w:t>
      </w:r>
    </w:p>
    <w:p>
      <w:pPr>
        <w:spacing w:line="580" w:lineRule="exact"/>
        <w:ind w:firstLine="632" w:firstLineChars="200"/>
        <w:rPr>
          <w:rFonts w:hint="eastAsia" w:ascii="仿宋_GB2312" w:eastAsia="仿宋_GB2312"/>
        </w:rPr>
      </w:pPr>
      <w:r>
        <w:rPr>
          <w:rFonts w:hint="eastAsia" w:ascii="仿宋_GB2312" w:eastAsia="仿宋_GB2312"/>
        </w:rPr>
        <w:t>六、一般公共预算财政拨款基本支出决算表</w:t>
      </w:r>
    </w:p>
    <w:p>
      <w:pPr>
        <w:spacing w:line="580" w:lineRule="exact"/>
        <w:ind w:firstLine="632" w:firstLineChars="200"/>
        <w:rPr>
          <w:rFonts w:hint="eastAsia" w:ascii="仿宋_GB2312" w:eastAsia="仿宋_GB2312"/>
        </w:rPr>
      </w:pPr>
      <w:r>
        <w:rPr>
          <w:rFonts w:hint="eastAsia" w:ascii="仿宋_GB2312" w:eastAsia="仿宋_GB2312"/>
        </w:rPr>
        <w:t>七、一般公共预算财政拨款“三公”经费支出决算表</w:t>
      </w:r>
    </w:p>
    <w:p>
      <w:pPr>
        <w:spacing w:line="580" w:lineRule="exact"/>
        <w:ind w:firstLine="632" w:firstLineChars="200"/>
        <w:rPr>
          <w:rFonts w:hint="eastAsia" w:ascii="仿宋_GB2312" w:eastAsia="仿宋_GB2312"/>
        </w:rPr>
      </w:pPr>
      <w:r>
        <w:rPr>
          <w:rFonts w:hint="eastAsia" w:ascii="仿宋_GB2312" w:eastAsia="仿宋_GB2312"/>
        </w:rPr>
        <w:t>八、政府性基金预算财政拨款收入支出决算表</w:t>
      </w:r>
    </w:p>
    <w:p>
      <w:pPr>
        <w:spacing w:line="580" w:lineRule="exact"/>
        <w:ind w:firstLine="632" w:firstLineChars="200"/>
        <w:rPr>
          <w:rFonts w:hint="eastAsia" w:ascii="仿宋_GB2312" w:eastAsia="仿宋_GB2312"/>
        </w:rPr>
      </w:pPr>
      <w:r>
        <w:rPr>
          <w:rFonts w:hint="eastAsia" w:ascii="仿宋_GB2312" w:eastAsia="仿宋_GB2312"/>
        </w:rPr>
        <w:t>九、国有资本经营预算财政拨款支出决算表</w:t>
      </w:r>
    </w:p>
    <w:p>
      <w:pPr>
        <w:spacing w:line="580" w:lineRule="exact"/>
        <w:ind w:firstLine="316" w:firstLineChars="100"/>
        <w:rPr>
          <w:rFonts w:hint="eastAsia" w:ascii="黑体" w:hAnsi="黑体" w:eastAsia="黑体"/>
        </w:rPr>
      </w:pPr>
      <w:r>
        <w:rPr>
          <w:rFonts w:hint="eastAsia" w:ascii="黑体" w:hAnsi="黑体" w:eastAsia="黑体"/>
        </w:rPr>
        <w:t>第三部分  2021年度单位决算情况说明</w:t>
      </w:r>
    </w:p>
    <w:p>
      <w:pPr>
        <w:spacing w:line="580" w:lineRule="exact"/>
        <w:ind w:firstLine="316" w:firstLineChars="100"/>
        <w:rPr>
          <w:rFonts w:hint="eastAsia" w:ascii="黑体" w:hAnsi="黑体" w:eastAsia="黑体"/>
        </w:rPr>
      </w:pPr>
      <w:r>
        <w:rPr>
          <w:rFonts w:hint="eastAsia" w:ascii="黑体" w:hAnsi="黑体" w:eastAsia="黑体"/>
        </w:rPr>
        <w:t>第四部分  名词解释</w:t>
      </w:r>
    </w:p>
    <w:p>
      <w:pPr>
        <w:spacing w:line="580" w:lineRule="exact"/>
        <w:ind w:firstLine="316" w:firstLineChars="100"/>
        <w:rPr>
          <w:rFonts w:hint="eastAsia" w:ascii="黑体" w:hAnsi="黑体" w:eastAsia="黑体"/>
        </w:rPr>
      </w:pPr>
      <w:bookmarkStart w:id="0" w:name="_GoBack"/>
      <w:r>
        <w:rPr>
          <w:rFonts w:hint="eastAsia" w:ascii="黑体" w:hAnsi="黑体" w:eastAsia="黑体"/>
        </w:rPr>
        <w:t>第五部分  附件</w:t>
      </w:r>
      <w:bookmarkEnd w:id="0"/>
      <w:r>
        <w:rPr>
          <w:rFonts w:hint="eastAsia" w:ascii="黑体" w:hAnsi="黑体" w:eastAsia="黑体"/>
        </w:rPr>
        <w:t xml:space="preserve">    </w:t>
      </w:r>
      <w:r>
        <w:rPr>
          <w:rFonts w:hint="eastAsia" w:ascii="黑体" w:hAnsi="黑体" w:eastAsia="黑体"/>
          <w:sz w:val="21"/>
          <w:szCs w:val="21"/>
        </w:rPr>
        <w:t xml:space="preserve"> </w:t>
      </w:r>
    </w:p>
    <w:p>
      <w:pPr>
        <w:spacing w:line="580" w:lineRule="exact"/>
        <w:ind w:firstLine="316" w:firstLineChars="100"/>
        <w:rPr>
          <w:rFonts w:hint="eastAsia" w:ascii="黑体" w:hAnsi="黑体" w:eastAsia="黑体"/>
        </w:rPr>
      </w:pPr>
    </w:p>
    <w:p>
      <w:pPr>
        <w:spacing w:line="580" w:lineRule="exact"/>
        <w:ind w:firstLine="316" w:firstLineChars="100"/>
        <w:rPr>
          <w:rFonts w:hint="eastAsia" w:ascii="黑体" w:hAnsi="黑体" w:eastAsia="黑体"/>
        </w:rPr>
      </w:pPr>
    </w:p>
    <w:p>
      <w:pPr>
        <w:rPr>
          <w:rFonts w:hint="eastAsia" w:ascii="方正小标宋简体" w:eastAsia="方正小标宋简体"/>
          <w:sz w:val="42"/>
        </w:rPr>
      </w:pPr>
    </w:p>
    <w:p>
      <w:pPr>
        <w:jc w:val="center"/>
        <w:rPr>
          <w:rFonts w:hint="eastAsia" w:ascii="方正小标宋简体" w:eastAsia="方正小标宋简体"/>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r>
        <w:rPr>
          <w:rFonts w:hint="eastAsia" w:ascii="方正小标宋简体" w:eastAsia="方正小标宋简体"/>
          <w:spacing w:val="60"/>
          <w:sz w:val="42"/>
        </w:rPr>
        <w:t>第一部分</w:t>
      </w:r>
    </w:p>
    <w:p>
      <w:pPr>
        <w:jc w:val="center"/>
        <w:rPr>
          <w:rFonts w:hint="eastAsia" w:ascii="方正小标宋简体" w:eastAsia="方正小标宋简体"/>
          <w:spacing w:val="60"/>
          <w:sz w:val="48"/>
        </w:rPr>
      </w:pPr>
    </w:p>
    <w:p>
      <w:pPr>
        <w:jc w:val="center"/>
        <w:rPr>
          <w:rFonts w:hint="eastAsia" w:ascii="方正小标宋简体" w:eastAsia="方正小标宋简体"/>
          <w:spacing w:val="60"/>
          <w:sz w:val="48"/>
        </w:rPr>
      </w:pPr>
      <w:r>
        <w:rPr>
          <w:rFonts w:hint="eastAsia" w:ascii="方正小标宋简体" w:eastAsia="方正小标宋简体"/>
          <w:spacing w:val="60"/>
          <w:sz w:val="48"/>
        </w:rPr>
        <w:t>单位概况</w:t>
      </w:r>
    </w:p>
    <w:p>
      <w:pPr>
        <w:jc w:val="center"/>
        <w:rPr>
          <w:rFonts w:hint="eastAsia" w:ascii="仿宋_GB2312" w:eastAsia="仿宋_GB2312"/>
        </w:rPr>
        <w:sectPr>
          <w:headerReference r:id="rId3" w:type="default"/>
          <w:footerReference r:id="rId4" w:type="default"/>
          <w:footerReference r:id="rId5" w:type="even"/>
          <w:pgSz w:w="11906" w:h="16838"/>
          <w:pgMar w:top="1701" w:right="1531" w:bottom="1701" w:left="1531" w:header="0" w:footer="1418" w:gutter="0"/>
          <w:cols w:space="720" w:num="1"/>
          <w:docGrid w:type="linesAndChars" w:linePitch="610" w:charSpace="-849"/>
        </w:sectPr>
      </w:pPr>
    </w:p>
    <w:p>
      <w:pPr>
        <w:spacing w:line="580" w:lineRule="exact"/>
        <w:ind w:firstLine="632" w:firstLineChars="200"/>
        <w:rPr>
          <w:rFonts w:hint="eastAsia" w:ascii="黑体" w:hAnsi="黑体" w:eastAsia="黑体"/>
        </w:rPr>
      </w:pPr>
      <w:r>
        <w:rPr>
          <w:rFonts w:hint="eastAsia" w:ascii="黑体" w:hAnsi="黑体" w:eastAsia="黑体"/>
        </w:rPr>
        <w:t>一、单位职责</w:t>
      </w:r>
    </w:p>
    <w:p>
      <w:pPr>
        <w:spacing w:line="580" w:lineRule="exact"/>
        <w:ind w:firstLine="632" w:firstLineChars="200"/>
        <w:rPr>
          <w:rFonts w:hint="eastAsia" w:ascii="仿宋_GB2312" w:eastAsia="仿宋_GB2312"/>
        </w:rPr>
      </w:pPr>
    </w:p>
    <w:p>
      <w:pPr>
        <w:snapToGrid w:val="0"/>
        <w:spacing w:line="560" w:lineRule="exact"/>
        <w:ind w:firstLine="632" w:firstLineChars="200"/>
        <w:rPr>
          <w:rFonts w:hint="default" w:ascii="仿宋_GB2312" w:hAnsi="宋体" w:eastAsia="仿宋_GB2312" w:cs="Courier New"/>
          <w:sz w:val="32"/>
          <w:szCs w:val="32"/>
          <w:lang w:val="en-US" w:eastAsia="zh-CN"/>
        </w:rPr>
      </w:pPr>
      <w:r>
        <w:rPr>
          <w:rFonts w:hint="eastAsia" w:ascii="仿宋_GB2312" w:hAnsi="宋体" w:eastAsia="仿宋_GB2312" w:cs="Courier New"/>
          <w:sz w:val="32"/>
          <w:szCs w:val="32"/>
          <w:lang w:val="en-US" w:eastAsia="zh-CN"/>
        </w:rPr>
        <w:t>培养高中学历技术应用人才、提高社会职业素质。幼师、电子技术、空调技术、机电一体、电器维修专业高中学历教育；相关职业培训。</w:t>
      </w:r>
    </w:p>
    <w:p>
      <w:pPr>
        <w:spacing w:line="580" w:lineRule="exact"/>
        <w:rPr>
          <w:rFonts w:hint="eastAsia" w:ascii="仿宋_GB2312" w:eastAsia="仿宋_GB2312"/>
        </w:rPr>
      </w:pPr>
    </w:p>
    <w:p>
      <w:pPr>
        <w:spacing w:line="580" w:lineRule="exact"/>
        <w:ind w:firstLine="632" w:firstLineChars="200"/>
        <w:rPr>
          <w:rFonts w:hint="eastAsia" w:ascii="黑体" w:hAnsi="黑体" w:eastAsia="黑体"/>
        </w:rPr>
      </w:pPr>
      <w:r>
        <w:rPr>
          <w:rFonts w:hint="eastAsia" w:ascii="黑体" w:hAnsi="黑体" w:eastAsia="黑体"/>
        </w:rPr>
        <w:t>二、机构设置</w:t>
      </w:r>
    </w:p>
    <w:p>
      <w:pPr>
        <w:snapToGrid w:val="0"/>
        <w:spacing w:line="560" w:lineRule="exact"/>
        <w:ind w:firstLine="632" w:firstLineChars="200"/>
        <w:rPr>
          <w:rFonts w:hint="default" w:ascii="仿宋_GB2312" w:eastAsia="仿宋_GB2312" w:cs="Courier New"/>
          <w:sz w:val="32"/>
          <w:szCs w:val="32"/>
          <w:lang w:val="en-US" w:eastAsia="zh-CN"/>
        </w:rPr>
      </w:pPr>
      <w:r>
        <w:rPr>
          <w:rFonts w:hint="eastAsia" w:ascii="仿宋_GB2312" w:hAnsi="宋体" w:eastAsia="仿宋_GB2312" w:cs="Courier New"/>
          <w:sz w:val="32"/>
          <w:szCs w:val="32"/>
        </w:rPr>
        <w:t>从决算单位构成看，</w:t>
      </w:r>
      <w:r>
        <w:rPr>
          <w:rFonts w:hint="eastAsia" w:ascii="仿宋_GB2312" w:hAnsi="宋体" w:eastAsia="仿宋_GB2312" w:cs="Courier New"/>
          <w:sz w:val="32"/>
          <w:szCs w:val="32"/>
          <w:lang w:val="en-US" w:eastAsia="zh-CN"/>
        </w:rPr>
        <w:t>青岛市即墨区第一职业高级中学</w:t>
      </w:r>
      <w:r>
        <w:rPr>
          <w:rFonts w:hint="eastAsia" w:ascii="仿宋_GB2312" w:hAnsi="宋体" w:eastAsia="仿宋_GB2312" w:cs="Courier New"/>
          <w:sz w:val="32"/>
          <w:szCs w:val="32"/>
        </w:rPr>
        <w:t>部门决算包括：</w:t>
      </w:r>
      <w:r>
        <w:rPr>
          <w:rFonts w:hint="eastAsia" w:ascii="仿宋_GB2312" w:hAnsi="宋体" w:eastAsia="仿宋_GB2312" w:cs="Courier New"/>
          <w:sz w:val="32"/>
          <w:szCs w:val="32"/>
          <w:lang w:val="en-US" w:eastAsia="zh-CN"/>
        </w:rPr>
        <w:t>青岛市即墨区第一职业高级中学本级。</w:t>
      </w:r>
    </w:p>
    <w:p>
      <w:pPr>
        <w:spacing w:line="560" w:lineRule="exact"/>
        <w:ind w:firstLine="632"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纳入</w:t>
      </w:r>
      <w:r>
        <w:rPr>
          <w:rFonts w:hint="eastAsia" w:ascii="仿宋_GB2312" w:hAnsi="宋体" w:eastAsia="仿宋_GB2312" w:cs="Courier New"/>
          <w:sz w:val="32"/>
          <w:szCs w:val="32"/>
          <w:lang w:val="en-US" w:eastAsia="zh-CN"/>
        </w:rPr>
        <w:t>青岛市即墨区第一职业高级中学</w:t>
      </w:r>
      <w:r>
        <w:rPr>
          <w:rFonts w:hint="eastAsia" w:ascii="仿宋_GB2312" w:hAnsi="宋体" w:eastAsia="仿宋_GB2312" w:cs="Courier New"/>
          <w:sz w:val="32"/>
          <w:szCs w:val="32"/>
        </w:rPr>
        <w:t>2020年度部门决算汇编范围的单位共</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rPr>
        <w:t>个</w:t>
      </w:r>
    </w:p>
    <w:p>
      <w:pPr>
        <w:adjustRightInd w:val="0"/>
        <w:snapToGrid w:val="0"/>
        <w:spacing w:line="580" w:lineRule="exact"/>
        <w:ind w:firstLine="632" w:firstLineChars="200"/>
        <w:jc w:val="left"/>
        <w:rPr>
          <w:rFonts w:hint="eastAsia" w:ascii="文星简仿宋" w:eastAsia="文星简仿宋"/>
          <w:b/>
          <w:szCs w:val="32"/>
          <w:highlight w:val="yellow"/>
        </w:rPr>
      </w:pPr>
    </w:p>
    <w:p>
      <w:pPr>
        <w:adjustRightInd w:val="0"/>
        <w:snapToGrid w:val="0"/>
        <w:spacing w:line="580" w:lineRule="exact"/>
        <w:ind w:firstLine="632" w:firstLineChars="200"/>
        <w:jc w:val="left"/>
        <w:rPr>
          <w:rFonts w:hint="eastAsia" w:ascii="文星简仿宋" w:eastAsia="文星简仿宋"/>
          <w:b/>
          <w:szCs w:val="32"/>
          <w:highlight w:val="yellow"/>
        </w:rPr>
      </w:pPr>
    </w:p>
    <w:p>
      <w:pPr>
        <w:adjustRightInd w:val="0"/>
        <w:snapToGrid w:val="0"/>
        <w:spacing w:line="580" w:lineRule="exact"/>
        <w:ind w:firstLine="592" w:firstLineChars="200"/>
        <w:jc w:val="left"/>
        <w:rPr>
          <w:rFonts w:hint="eastAsia" w:ascii="文星简仿宋" w:eastAsia="文星简仿宋"/>
          <w:b/>
          <w:sz w:val="30"/>
          <w:szCs w:val="30"/>
          <w:highlight w:val="yellow"/>
        </w:rPr>
      </w:pPr>
    </w:p>
    <w:p>
      <w:pPr>
        <w:jc w:val="center"/>
        <w:rPr>
          <w:rFonts w:hint="eastAsia" w:ascii="方正小标宋简体" w:eastAsia="方正小标宋简体"/>
          <w:sz w:val="42"/>
        </w:rPr>
      </w:pPr>
    </w:p>
    <w:p>
      <w:pPr>
        <w:jc w:val="center"/>
        <w:rPr>
          <w:rFonts w:hint="eastAsia" w:ascii="方正小标宋简体" w:eastAsia="方正小标宋简体"/>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r>
        <w:rPr>
          <w:rFonts w:hint="eastAsia" w:ascii="方正小标宋简体" w:eastAsia="方正小标宋简体"/>
          <w:spacing w:val="60"/>
          <w:sz w:val="42"/>
        </w:rPr>
        <w:t>第二部分</w:t>
      </w:r>
    </w:p>
    <w:p>
      <w:pPr>
        <w:jc w:val="center"/>
        <w:rPr>
          <w:rFonts w:hint="eastAsia" w:ascii="方正小标宋简体" w:eastAsia="方正小标宋简体"/>
          <w:spacing w:val="60"/>
          <w:sz w:val="42"/>
        </w:rPr>
      </w:pPr>
    </w:p>
    <w:p>
      <w:pPr>
        <w:jc w:val="center"/>
        <w:rPr>
          <w:rFonts w:hint="eastAsia" w:ascii="方正小标宋简体" w:eastAsia="方正小标宋简体"/>
          <w:spacing w:val="60"/>
          <w:sz w:val="42"/>
        </w:rPr>
      </w:pPr>
      <w:r>
        <w:rPr>
          <w:rFonts w:hint="eastAsia" w:ascii="方正小标宋简体" w:eastAsia="方正小标宋简体"/>
          <w:spacing w:val="60"/>
          <w:sz w:val="48"/>
        </w:rPr>
        <w:t>2021年度单位决算表</w:t>
      </w:r>
    </w:p>
    <w:p>
      <w:pPr>
        <w:spacing w:line="520" w:lineRule="exact"/>
        <w:rPr>
          <w:rFonts w:hint="eastAsia" w:ascii="仿宋_GB2312" w:eastAsia="仿宋_GB2312"/>
          <w:b/>
          <w:sz w:val="28"/>
          <w:szCs w:val="28"/>
          <w:highlight w:val="yellow"/>
        </w:rPr>
      </w:pPr>
    </w:p>
    <w:p>
      <w:pPr>
        <w:jc w:val="center"/>
        <w:rPr>
          <w:rFonts w:hint="eastAsia" w:ascii="方正小标宋简体" w:eastAsia="方正小标宋简体"/>
          <w:spacing w:val="60"/>
          <w:sz w:val="42"/>
        </w:rPr>
        <w:sectPr>
          <w:pgSz w:w="11906" w:h="16838"/>
          <w:pgMar w:top="1701" w:right="1531" w:bottom="1701" w:left="1531" w:header="0" w:footer="1418" w:gutter="0"/>
          <w:cols w:space="720" w:num="1"/>
          <w:docGrid w:type="linesAndChars" w:linePitch="610" w:charSpace="-849"/>
        </w:sectPr>
      </w:pPr>
    </w:p>
    <w:p>
      <w:pPr>
        <w:ind w:firstLine="158" w:firstLineChars="50"/>
        <w:rPr>
          <w:rFonts w:ascii="楷体_GB2312" w:eastAsia="楷体_GB2312"/>
          <w:sz w:val="28"/>
          <w:szCs w:val="28"/>
        </w:rPr>
        <w:sectPr>
          <w:pgSz w:w="11906" w:h="16838"/>
          <w:pgMar w:top="1701" w:right="1531" w:bottom="1701" w:left="1531" w:header="0" w:footer="1418" w:gutter="0"/>
          <w:cols w:space="720" w:num="1"/>
          <w:docGrid w:type="linesAndChars" w:linePitch="610" w:charSpace="-849"/>
        </w:sectPr>
      </w:pPr>
      <w:r>
        <w:drawing>
          <wp:inline distT="0" distB="0" distL="114300" distR="114300">
            <wp:extent cx="5614035" cy="4709160"/>
            <wp:effectExtent l="0" t="0" r="5715" b="152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614035" cy="4709160"/>
                    </a:xfrm>
                    <a:prstGeom prst="rect">
                      <a:avLst/>
                    </a:prstGeom>
                    <a:noFill/>
                    <a:ln>
                      <a:noFill/>
                    </a:ln>
                  </pic:spPr>
                </pic:pic>
              </a:graphicData>
            </a:graphic>
          </wp:inline>
        </w:drawing>
      </w:r>
      <w:r>
        <w:rPr>
          <w:rFonts w:hint="eastAsia" w:ascii="仿宋_GB2312" w:hAnsi="宋体" w:eastAsia="仿宋_GB2312"/>
          <w:sz w:val="18"/>
          <w:szCs w:val="18"/>
        </w:rPr>
        <w:t>注：1.本表反映单位本年度的总收支和年末结转结余情况。2.本套报表金额单位转换时可能存在尾数误差。</w:t>
      </w:r>
    </w:p>
    <w:p>
      <w:pPr>
        <w:ind w:firstLine="158" w:firstLineChars="50"/>
        <w:rPr>
          <w:rFonts w:ascii="仿宋_GB2312" w:hAnsi="宋体" w:eastAsia="仿宋_GB2312"/>
          <w:sz w:val="22"/>
          <w:szCs w:val="22"/>
        </w:rPr>
      </w:pPr>
      <w:r>
        <w:drawing>
          <wp:inline distT="0" distB="0" distL="114300" distR="114300">
            <wp:extent cx="8521700" cy="4713605"/>
            <wp:effectExtent l="0" t="0" r="12700"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8521700" cy="4713605"/>
                    </a:xfrm>
                    <a:prstGeom prst="rect">
                      <a:avLst/>
                    </a:prstGeom>
                    <a:noFill/>
                    <a:ln>
                      <a:noFill/>
                    </a:ln>
                  </pic:spPr>
                </pic:pic>
              </a:graphicData>
            </a:graphic>
          </wp:inline>
        </w:drawing>
      </w:r>
      <w:r>
        <w:rPr>
          <w:rFonts w:hint="eastAsia" w:ascii="仿宋_GB2312" w:hAnsi="宋体" w:eastAsia="仿宋_GB2312"/>
          <w:sz w:val="22"/>
          <w:szCs w:val="22"/>
        </w:rPr>
        <w:t>注：本表反映单位本年度取得的各项收入情况。</w:t>
      </w:r>
    </w:p>
    <w:p>
      <w:pPr>
        <w:rPr>
          <w:rFonts w:hint="eastAsia" w:ascii="仿宋_GB2312" w:hAnsi="宋体" w:eastAsia="仿宋_GB2312"/>
          <w:sz w:val="22"/>
          <w:szCs w:val="22"/>
        </w:rPr>
      </w:pPr>
      <w:r>
        <w:drawing>
          <wp:inline distT="0" distB="0" distL="114300" distR="114300">
            <wp:extent cx="8524875" cy="4702810"/>
            <wp:effectExtent l="0" t="0" r="952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8524875" cy="4702810"/>
                    </a:xfrm>
                    <a:prstGeom prst="rect">
                      <a:avLst/>
                    </a:prstGeom>
                    <a:noFill/>
                    <a:ln>
                      <a:noFill/>
                    </a:ln>
                  </pic:spPr>
                </pic:pic>
              </a:graphicData>
            </a:graphic>
          </wp:inline>
        </w:drawing>
      </w:r>
      <w:r>
        <w:rPr>
          <w:rFonts w:hint="eastAsia" w:ascii="仿宋_GB2312" w:hAnsi="宋体" w:eastAsia="仿宋_GB2312"/>
          <w:sz w:val="22"/>
          <w:szCs w:val="22"/>
        </w:rPr>
        <w:t>注：本表反映单位本年度各项支出情况。</w:t>
      </w:r>
    </w:p>
    <w:p>
      <w:pPr>
        <w:rPr>
          <w:rFonts w:ascii="仿宋_GB2312" w:hAnsi="宋体" w:eastAsia="仿宋_GB2312"/>
          <w:sz w:val="22"/>
          <w:szCs w:val="22"/>
        </w:rPr>
        <w:sectPr>
          <w:pgSz w:w="16838" w:h="11906" w:orient="landscape"/>
          <w:pgMar w:top="1531" w:right="1701" w:bottom="1531" w:left="1701" w:header="0" w:footer="1418" w:gutter="0"/>
          <w:cols w:space="720" w:num="1"/>
          <w:docGrid w:type="linesAndChars" w:linePitch="610" w:charSpace="-849"/>
        </w:sectPr>
      </w:pPr>
    </w:p>
    <w:p>
      <w:pPr>
        <w:rPr>
          <w:rFonts w:ascii="仿宋_GB2312" w:hAnsi="宋体" w:eastAsia="仿宋_GB2312"/>
          <w:sz w:val="22"/>
          <w:szCs w:val="22"/>
        </w:rPr>
        <w:sectPr>
          <w:pgSz w:w="16838" w:h="11906" w:orient="landscape"/>
          <w:pgMar w:top="1531" w:right="1701" w:bottom="1531" w:left="1701" w:header="0" w:footer="1418" w:gutter="0"/>
          <w:cols w:space="720" w:num="1"/>
          <w:docGrid w:type="linesAndChars" w:linePitch="610" w:charSpace="-849"/>
        </w:sectPr>
      </w:pPr>
      <w:r>
        <w:drawing>
          <wp:inline distT="0" distB="0" distL="114300" distR="114300">
            <wp:extent cx="8529955" cy="4814570"/>
            <wp:effectExtent l="0" t="0" r="4445"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8529955" cy="4814570"/>
                    </a:xfrm>
                    <a:prstGeom prst="rect">
                      <a:avLst/>
                    </a:prstGeom>
                    <a:noFill/>
                    <a:ln>
                      <a:noFill/>
                    </a:ln>
                  </pic:spPr>
                </pic:pic>
              </a:graphicData>
            </a:graphic>
          </wp:inline>
        </w:drawing>
      </w:r>
      <w:r>
        <w:rPr>
          <w:rFonts w:hint="eastAsia" w:ascii="仿宋_GB2312" w:hAnsi="宋体" w:eastAsia="仿宋_GB2312"/>
          <w:sz w:val="22"/>
          <w:szCs w:val="22"/>
        </w:rPr>
        <w:t>注：本表反映单位本年度一般公共预算财政拨款、政府性基金预算财政拨款和国有资本经营预算财政拨款的总收支和年末结转结余情况。</w:t>
      </w:r>
    </w:p>
    <w:p>
      <w:pPr>
        <w:spacing w:line="400" w:lineRule="exact"/>
        <w:ind w:firstLine="108" w:firstLineChars="50"/>
        <w:jc w:val="left"/>
        <w:rPr>
          <w:rFonts w:hint="eastAsia" w:ascii="仿宋_GB2312" w:hAnsi="宋体" w:eastAsia="仿宋_GB2312"/>
          <w:sz w:val="22"/>
          <w:szCs w:val="22"/>
        </w:rPr>
      </w:pPr>
    </w:p>
    <w:p>
      <w:pPr>
        <w:keepNext w:val="0"/>
        <w:keepLines w:val="0"/>
        <w:pageBreakBefore w:val="0"/>
        <w:widowControl w:val="0"/>
        <w:kinsoku/>
        <w:wordWrap/>
        <w:overflowPunct/>
        <w:topLinePunct w:val="0"/>
        <w:autoSpaceDE/>
        <w:autoSpaceDN/>
        <w:bidi w:val="0"/>
        <w:adjustRightInd/>
        <w:snapToGrid/>
        <w:spacing w:line="360" w:lineRule="auto"/>
        <w:ind w:firstLine="158" w:firstLineChars="50"/>
        <w:jc w:val="left"/>
        <w:textAlignment w:val="auto"/>
        <w:rPr>
          <w:rFonts w:hint="eastAsia" w:ascii="仿宋_GB2312" w:hAnsi="宋体" w:eastAsia="仿宋_GB2312"/>
          <w:sz w:val="22"/>
          <w:szCs w:val="22"/>
        </w:rPr>
      </w:pPr>
      <w:r>
        <w:drawing>
          <wp:inline distT="0" distB="0" distL="114300" distR="114300">
            <wp:extent cx="8529320" cy="3238500"/>
            <wp:effectExtent l="0" t="0" r="5080" b="0"/>
            <wp:docPr id="1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pic:cNvPicPr>
                      <a:picLocks noChangeAspect="1"/>
                    </pic:cNvPicPr>
                  </pic:nvPicPr>
                  <pic:blipFill>
                    <a:blip r:embed="rId11"/>
                    <a:stretch>
                      <a:fillRect/>
                    </a:stretch>
                  </pic:blipFill>
                  <pic:spPr>
                    <a:xfrm>
                      <a:off x="0" y="0"/>
                      <a:ext cx="8529320" cy="3238500"/>
                    </a:xfrm>
                    <a:prstGeom prst="rect">
                      <a:avLst/>
                    </a:prstGeom>
                    <a:noFill/>
                    <a:ln>
                      <a:noFill/>
                    </a:ln>
                  </pic:spPr>
                </pic:pic>
              </a:graphicData>
            </a:graphic>
          </wp:inline>
        </w:drawing>
      </w:r>
    </w:p>
    <w:p>
      <w:pPr>
        <w:spacing w:line="400" w:lineRule="exact"/>
        <w:ind w:firstLine="108" w:firstLineChars="50"/>
        <w:jc w:val="left"/>
        <w:rPr>
          <w:rFonts w:hint="eastAsia" w:ascii="仿宋_GB2312" w:hAnsi="宋体" w:eastAsia="仿宋_GB2312"/>
          <w:sz w:val="22"/>
          <w:szCs w:val="22"/>
        </w:rPr>
      </w:pPr>
      <w:r>
        <w:rPr>
          <w:rFonts w:hint="eastAsia" w:ascii="仿宋_GB2312" w:hAnsi="宋体" w:eastAsia="仿宋_GB2312"/>
          <w:sz w:val="22"/>
          <w:szCs w:val="22"/>
        </w:rPr>
        <w:t>注：本表反映单位本年度一般公共预注:本表反映单位本年度一般公共预算财政拨款基本支出明细情况。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宋体" w:eastAsia="仿宋_GB2312"/>
          <w:sz w:val="22"/>
          <w:szCs w:val="22"/>
        </w:rPr>
        <w:sectPr>
          <w:pgSz w:w="16838" w:h="11906" w:orient="landscape"/>
          <w:pgMar w:top="1531" w:right="1701" w:bottom="1531" w:left="1701" w:header="0" w:footer="1418" w:gutter="0"/>
          <w:cols w:space="720" w:num="1"/>
          <w:docGrid w:type="linesAndChars" w:linePitch="610" w:charSpace="-849"/>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eastAsia="方正小标宋简体"/>
          <w:sz w:val="44"/>
          <w:szCs w:val="44"/>
        </w:rPr>
      </w:pPr>
      <w:r>
        <w:drawing>
          <wp:inline distT="0" distB="0" distL="114300" distR="114300">
            <wp:extent cx="8529320" cy="6005195"/>
            <wp:effectExtent l="0" t="0" r="5080" b="14605"/>
            <wp:docPr id="258" name="图片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图片 256"/>
                    <pic:cNvPicPr>
                      <a:picLocks noChangeAspect="1"/>
                    </pic:cNvPicPr>
                  </pic:nvPicPr>
                  <pic:blipFill>
                    <a:blip r:embed="rId12"/>
                    <a:stretch>
                      <a:fillRect/>
                    </a:stretch>
                  </pic:blipFill>
                  <pic:spPr>
                    <a:xfrm>
                      <a:off x="0" y="0"/>
                      <a:ext cx="8529320" cy="6005195"/>
                    </a:xfrm>
                    <a:prstGeom prst="rect">
                      <a:avLst/>
                    </a:prstGeom>
                    <a:noFill/>
                    <a:ln>
                      <a:noFill/>
                    </a:ln>
                  </pic:spPr>
                </pic:pic>
              </a:graphicData>
            </a:graphic>
          </wp:inline>
        </w:drawing>
      </w:r>
    </w:p>
    <w:p>
      <w:pPr>
        <w:jc w:val="center"/>
        <w:rPr>
          <w:rFonts w:hint="eastAsia" w:ascii="方正小标宋简体" w:eastAsia="方正小标宋简体"/>
          <w:sz w:val="44"/>
          <w:szCs w:val="44"/>
        </w:rPr>
      </w:pPr>
    </w:p>
    <w:p>
      <w:pPr>
        <w:jc w:val="both"/>
        <w:rPr>
          <w:rFonts w:hint="eastAsia" w:ascii="方正小标宋简体" w:eastAsia="方正小标宋简体"/>
          <w:sz w:val="44"/>
          <w:szCs w:val="44"/>
        </w:rPr>
      </w:pPr>
      <w:r>
        <w:rPr>
          <w:rFonts w:hint="eastAsia" w:ascii="方正小标宋简体" w:eastAsia="方正小标宋简体"/>
          <w:sz w:val="44"/>
          <w:szCs w:val="44"/>
        </w:rPr>
        <w:t>一般公共预算财政拨款“三公”经费支出决算表</w:t>
      </w:r>
    </w:p>
    <w:p>
      <w:pPr>
        <w:wordWrap w:val="0"/>
        <w:spacing w:line="400" w:lineRule="exact"/>
        <w:jc w:val="right"/>
        <w:rPr>
          <w:rFonts w:hint="eastAsia" w:ascii="楷体_GB2312" w:eastAsia="楷体_GB2312"/>
          <w:sz w:val="28"/>
          <w:szCs w:val="28"/>
        </w:rPr>
      </w:pPr>
      <w:r>
        <w:rPr>
          <w:rFonts w:hint="eastAsia" w:ascii="方正小标宋简体" w:eastAsia="方正小标宋简体"/>
          <w:sz w:val="44"/>
          <w:szCs w:val="44"/>
        </w:rPr>
        <w:t>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公开07表</w:t>
      </w:r>
    </w:p>
    <w:p>
      <w:pPr>
        <w:spacing w:line="400" w:lineRule="exact"/>
        <w:ind w:firstLine="138" w:firstLineChars="50"/>
        <w:jc w:val="right"/>
        <w:rPr>
          <w:rFonts w:hint="eastAsia" w:ascii="楷体_GB2312" w:eastAsia="楷体_GB2312"/>
          <w:sz w:val="28"/>
          <w:szCs w:val="28"/>
        </w:rPr>
      </w:pPr>
      <w:r>
        <w:rPr>
          <w:rFonts w:hint="eastAsia" w:ascii="楷体_GB2312" w:eastAsia="楷体_GB2312"/>
          <w:sz w:val="28"/>
          <w:szCs w:val="28"/>
        </w:rPr>
        <w:t xml:space="preserve">单位：                                                          </w:t>
      </w:r>
      <w:r>
        <w:rPr>
          <w:rFonts w:ascii="楷体_GB2312" w:eastAsia="楷体_GB2312"/>
          <w:sz w:val="28"/>
          <w:szCs w:val="28"/>
        </w:rPr>
        <w:t xml:space="preserve"> </w:t>
      </w:r>
      <w:r>
        <w:rPr>
          <w:rFonts w:hint="eastAsia" w:ascii="楷体_GB2312" w:eastAsia="楷体_GB2312"/>
          <w:sz w:val="28"/>
          <w:szCs w:val="28"/>
        </w:rPr>
        <w:t xml:space="preserve">                 金额单位：万元</w:t>
      </w:r>
    </w:p>
    <w:tbl>
      <w:tblPr>
        <w:tblStyle w:val="11"/>
        <w:tblW w:w="0" w:type="auto"/>
        <w:jc w:val="center"/>
        <w:tblLayout w:type="fixed"/>
        <w:tblCellMar>
          <w:top w:w="0" w:type="dxa"/>
          <w:left w:w="108" w:type="dxa"/>
          <w:bottom w:w="0" w:type="dxa"/>
          <w:right w:w="108" w:type="dxa"/>
        </w:tblCellMar>
      </w:tblPr>
      <w:tblGrid>
        <w:gridCol w:w="1179"/>
        <w:gridCol w:w="1195"/>
        <w:gridCol w:w="1180"/>
        <w:gridCol w:w="1180"/>
        <w:gridCol w:w="1272"/>
        <w:gridCol w:w="878"/>
        <w:gridCol w:w="1098"/>
        <w:gridCol w:w="1143"/>
        <w:gridCol w:w="851"/>
        <w:gridCol w:w="1132"/>
        <w:gridCol w:w="1164"/>
        <w:gridCol w:w="984"/>
      </w:tblGrid>
      <w:tr>
        <w:tblPrEx>
          <w:tblCellMar>
            <w:top w:w="0" w:type="dxa"/>
            <w:left w:w="108" w:type="dxa"/>
            <w:bottom w:w="0" w:type="dxa"/>
            <w:right w:w="108" w:type="dxa"/>
          </w:tblCellMar>
        </w:tblPrEx>
        <w:trPr>
          <w:trHeight w:val="862" w:hRule="atLeast"/>
          <w:jc w:val="center"/>
        </w:trPr>
        <w:tc>
          <w:tcPr>
            <w:tcW w:w="6884" w:type="dxa"/>
            <w:gridSpan w:val="6"/>
            <w:tcBorders>
              <w:top w:val="single" w:color="auto" w:sz="8" w:space="0"/>
              <w:left w:val="single" w:color="auto" w:sz="8" w:space="0"/>
              <w:bottom w:val="single" w:color="auto" w:sz="4" w:space="0"/>
              <w:right w:val="single" w:color="000000" w:sz="8" w:space="0"/>
            </w:tcBorders>
            <w:shd w:val="clear" w:color="auto" w:fill="auto"/>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预 算 数</w:t>
            </w:r>
          </w:p>
        </w:tc>
        <w:tc>
          <w:tcPr>
            <w:tcW w:w="637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决 算 数　</w:t>
            </w:r>
          </w:p>
        </w:tc>
      </w:tr>
      <w:tr>
        <w:tblPrEx>
          <w:tblCellMar>
            <w:top w:w="0" w:type="dxa"/>
            <w:left w:w="108" w:type="dxa"/>
            <w:bottom w:w="0" w:type="dxa"/>
            <w:right w:w="108" w:type="dxa"/>
          </w:tblCellMar>
        </w:tblPrEx>
        <w:trPr>
          <w:trHeight w:val="862" w:hRule="atLeast"/>
          <w:jc w:val="center"/>
        </w:trPr>
        <w:tc>
          <w:tcPr>
            <w:tcW w:w="1179" w:type="dxa"/>
            <w:vMerge w:val="restart"/>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119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因公出国（境）费</w:t>
            </w:r>
          </w:p>
        </w:tc>
        <w:tc>
          <w:tcPr>
            <w:tcW w:w="363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公务用车购置及运行维护费</w:t>
            </w:r>
          </w:p>
        </w:tc>
        <w:tc>
          <w:tcPr>
            <w:tcW w:w="878" w:type="dxa"/>
            <w:vMerge w:val="restart"/>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公务</w:t>
            </w:r>
          </w:p>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接待费</w:t>
            </w:r>
          </w:p>
        </w:tc>
        <w:tc>
          <w:tcPr>
            <w:tcW w:w="109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114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因公出国（境）费</w:t>
            </w:r>
          </w:p>
        </w:tc>
        <w:tc>
          <w:tcPr>
            <w:tcW w:w="3147"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公务用车购置及运行维护费</w:t>
            </w:r>
          </w:p>
        </w:tc>
        <w:tc>
          <w:tcPr>
            <w:tcW w:w="98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公务</w:t>
            </w:r>
          </w:p>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接待费</w:t>
            </w:r>
          </w:p>
        </w:tc>
      </w:tr>
      <w:tr>
        <w:tblPrEx>
          <w:tblCellMar>
            <w:top w:w="0" w:type="dxa"/>
            <w:left w:w="108" w:type="dxa"/>
            <w:bottom w:w="0" w:type="dxa"/>
            <w:right w:w="108" w:type="dxa"/>
          </w:tblCellMar>
        </w:tblPrEx>
        <w:trPr>
          <w:trHeight w:val="862" w:hRule="atLeast"/>
          <w:jc w:val="center"/>
        </w:trPr>
        <w:tc>
          <w:tcPr>
            <w:tcW w:w="1179" w:type="dxa"/>
            <w:vMerge w:val="continue"/>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left"/>
              <w:rPr>
                <w:rFonts w:hint="eastAsia" w:ascii="仿宋_GB2312" w:hAnsi="宋体" w:eastAsia="仿宋_GB2312" w:cs="宋体"/>
                <w:kern w:val="0"/>
                <w:sz w:val="22"/>
                <w:szCs w:val="22"/>
              </w:rPr>
            </w:pPr>
          </w:p>
        </w:tc>
        <w:tc>
          <w:tcPr>
            <w:tcW w:w="119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hint="eastAsia" w:ascii="仿宋_GB2312" w:hAnsi="宋体" w:eastAsia="仿宋_GB2312" w:cs="宋体"/>
                <w:kern w:val="0"/>
                <w:sz w:val="22"/>
                <w:szCs w:val="22"/>
              </w:rPr>
            </w:pP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小计</w:t>
            </w: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公务用车购置费</w:t>
            </w:r>
          </w:p>
        </w:tc>
        <w:tc>
          <w:tcPr>
            <w:tcW w:w="127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公务用车运行维护费</w:t>
            </w:r>
          </w:p>
        </w:tc>
        <w:tc>
          <w:tcPr>
            <w:tcW w:w="878" w:type="dxa"/>
            <w:vMerge w:val="continue"/>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left"/>
              <w:rPr>
                <w:rFonts w:hint="eastAsia" w:ascii="仿宋_GB2312" w:hAnsi="宋体" w:eastAsia="仿宋_GB2312" w:cs="宋体"/>
                <w:kern w:val="0"/>
                <w:sz w:val="22"/>
                <w:szCs w:val="22"/>
              </w:rPr>
            </w:pPr>
          </w:p>
        </w:tc>
        <w:tc>
          <w:tcPr>
            <w:tcW w:w="10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00" w:lineRule="exact"/>
              <w:jc w:val="left"/>
              <w:rPr>
                <w:rFonts w:hint="eastAsia" w:ascii="仿宋_GB2312" w:hAnsi="宋体" w:eastAsia="仿宋_GB2312" w:cs="宋体"/>
                <w:kern w:val="0"/>
                <w:sz w:val="22"/>
                <w:szCs w:val="22"/>
              </w:rPr>
            </w:pPr>
          </w:p>
        </w:tc>
        <w:tc>
          <w:tcPr>
            <w:tcW w:w="114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00" w:lineRule="exact"/>
              <w:jc w:val="left"/>
              <w:rPr>
                <w:rFonts w:hint="eastAsia" w:ascii="仿宋_GB2312" w:hAnsi="宋体" w:eastAsia="仿宋_GB2312" w:cs="宋体"/>
                <w:kern w:val="0"/>
                <w:sz w:val="22"/>
                <w:szCs w:val="22"/>
              </w:rPr>
            </w:pPr>
          </w:p>
        </w:tc>
        <w:tc>
          <w:tcPr>
            <w:tcW w:w="8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小计</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公务用车购置费</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公务用车运行维护费</w:t>
            </w:r>
          </w:p>
        </w:tc>
        <w:tc>
          <w:tcPr>
            <w:tcW w:w="98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00" w:lineRule="exact"/>
              <w:jc w:val="left"/>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623"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w:t>
            </w:r>
          </w:p>
        </w:tc>
        <w:tc>
          <w:tcPr>
            <w:tcW w:w="1195"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2</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4</w:t>
            </w:r>
          </w:p>
        </w:tc>
        <w:tc>
          <w:tcPr>
            <w:tcW w:w="1272"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5</w:t>
            </w:r>
          </w:p>
        </w:tc>
        <w:tc>
          <w:tcPr>
            <w:tcW w:w="878" w:type="dxa"/>
            <w:tcBorders>
              <w:top w:val="nil"/>
              <w:left w:val="nil"/>
              <w:bottom w:val="single" w:color="auto" w:sz="8" w:space="0"/>
              <w:right w:val="single" w:color="000000" w:sz="8" w:space="0"/>
            </w:tcBorders>
            <w:shd w:val="clear" w:color="auto" w:fill="auto"/>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6</w:t>
            </w:r>
          </w:p>
        </w:tc>
        <w:tc>
          <w:tcPr>
            <w:tcW w:w="10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7</w:t>
            </w:r>
          </w:p>
        </w:tc>
        <w:tc>
          <w:tcPr>
            <w:tcW w:w="114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8</w:t>
            </w:r>
          </w:p>
        </w:tc>
        <w:tc>
          <w:tcPr>
            <w:tcW w:w="8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11</w:t>
            </w:r>
          </w:p>
        </w:tc>
        <w:tc>
          <w:tcPr>
            <w:tcW w:w="98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12</w:t>
            </w:r>
          </w:p>
        </w:tc>
      </w:tr>
      <w:tr>
        <w:tblPrEx>
          <w:tblCellMar>
            <w:top w:w="0" w:type="dxa"/>
            <w:left w:w="108" w:type="dxa"/>
            <w:bottom w:w="0" w:type="dxa"/>
            <w:right w:w="108" w:type="dxa"/>
          </w:tblCellMar>
        </w:tblPrEx>
        <w:trPr>
          <w:trHeight w:val="1296"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95" w:type="dxa"/>
            <w:tcBorders>
              <w:top w:val="nil"/>
              <w:left w:val="nil"/>
              <w:bottom w:val="single" w:color="auto" w:sz="8" w:space="0"/>
              <w:right w:val="single" w:color="auto" w:sz="4" w:space="0"/>
            </w:tcBorders>
            <w:shd w:val="clear" w:color="auto" w:fill="auto"/>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2" w:type="dxa"/>
            <w:tcBorders>
              <w:top w:val="nil"/>
              <w:left w:val="nil"/>
              <w:bottom w:val="single" w:color="auto" w:sz="8" w:space="0"/>
              <w:right w:val="single" w:color="auto" w:sz="4" w:space="0"/>
            </w:tcBorders>
            <w:shd w:val="clear" w:color="auto" w:fill="auto"/>
            <w:vAlign w:val="center"/>
          </w:tcPr>
          <w:p>
            <w:pPr>
              <w:widowControl/>
              <w:spacing w:line="300" w:lineRule="exact"/>
              <w:jc w:val="left"/>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rPr>
              <w:t>　</w:t>
            </w:r>
            <w:r>
              <w:rPr>
                <w:rFonts w:hint="eastAsia" w:ascii="仿宋_GB2312" w:hAnsi="宋体" w:eastAsia="仿宋_GB2312" w:cs="宋体"/>
                <w:kern w:val="0"/>
                <w:sz w:val="22"/>
                <w:szCs w:val="22"/>
                <w:lang w:val="en-US" w:eastAsia="zh-CN"/>
              </w:rPr>
              <w:t>0.9</w:t>
            </w:r>
          </w:p>
        </w:tc>
        <w:tc>
          <w:tcPr>
            <w:tcW w:w="878" w:type="dxa"/>
            <w:tcBorders>
              <w:top w:val="nil"/>
              <w:left w:val="nil"/>
              <w:bottom w:val="single" w:color="auto" w:sz="8" w:space="0"/>
              <w:right w:val="single" w:color="000000" w:sz="8" w:space="0"/>
            </w:tcBorders>
            <w:shd w:val="clear" w:color="auto" w:fill="auto"/>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0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00" w:lineRule="exact"/>
              <w:jc w:val="left"/>
              <w:rPr>
                <w:rFonts w:hint="eastAsia" w:ascii="仿宋_GB2312" w:hAnsi="宋体" w:eastAsia="仿宋_GB2312" w:cs="宋体"/>
                <w:kern w:val="0"/>
                <w:sz w:val="22"/>
                <w:szCs w:val="22"/>
              </w:rPr>
            </w:pPr>
          </w:p>
        </w:tc>
        <w:tc>
          <w:tcPr>
            <w:tcW w:w="114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00" w:lineRule="exact"/>
              <w:jc w:val="left"/>
              <w:rPr>
                <w:rFonts w:hint="eastAsia" w:ascii="仿宋_GB2312" w:hAnsi="宋体" w:eastAsia="仿宋_GB2312" w:cs="宋体"/>
                <w:kern w:val="0"/>
                <w:sz w:val="22"/>
                <w:szCs w:val="22"/>
              </w:rPr>
            </w:pPr>
          </w:p>
        </w:tc>
        <w:tc>
          <w:tcPr>
            <w:tcW w:w="8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6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98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bl>
    <w:p>
      <w:pPr>
        <w:spacing w:line="360" w:lineRule="exact"/>
        <w:ind w:firstLine="108" w:firstLineChars="50"/>
        <w:rPr>
          <w:rFonts w:hint="eastAsia" w:ascii="仿宋_GB2312" w:hAnsi="宋体" w:eastAsia="仿宋_GB2312"/>
          <w:sz w:val="22"/>
          <w:szCs w:val="22"/>
        </w:rPr>
      </w:pPr>
      <w:r>
        <w:rPr>
          <w:rFonts w:hint="eastAsia" w:ascii="仿宋_GB2312" w:hAnsi="宋体" w:eastAsia="仿宋_GB2312"/>
          <w:sz w:val="22"/>
          <w:szCs w:val="22"/>
        </w:rPr>
        <w:t>注：本表反映单位本年度“三公”经费支出预决算情况。其中，预算数为“三公”经费年初预算数；决算数是包括当年一般公共预算财政拨款和以前年度结转资金安排的实际支出。</w:t>
      </w:r>
    </w:p>
    <w:p>
      <w:pPr>
        <w:spacing w:line="440" w:lineRule="exact"/>
        <w:ind w:firstLine="108" w:firstLineChars="50"/>
        <w:rPr>
          <w:rFonts w:hint="eastAsia" w:ascii="仿宋_GB2312" w:hAnsi="宋体" w:eastAsia="仿宋_GB2312"/>
          <w:sz w:val="22"/>
          <w:szCs w:val="22"/>
          <w:highlight w:val="yellow"/>
        </w:rPr>
      </w:pPr>
    </w:p>
    <w:p>
      <w:pPr>
        <w:ind w:firstLine="108" w:firstLineChars="50"/>
        <w:rPr>
          <w:rFonts w:ascii="仿宋_GB2312" w:hAnsi="宋体" w:eastAsia="仿宋_GB2312"/>
          <w:sz w:val="22"/>
          <w:szCs w:val="22"/>
        </w:rPr>
      </w:pPr>
    </w:p>
    <w:p>
      <w:pPr>
        <w:ind w:firstLine="108" w:firstLineChars="50"/>
        <w:rPr>
          <w:rFonts w:hint="eastAsia" w:ascii="仿宋_GB2312" w:hAnsi="宋体" w:eastAsia="仿宋_GB2312"/>
          <w:sz w:val="22"/>
          <w:szCs w:val="22"/>
        </w:rPr>
      </w:pPr>
    </w:p>
    <w:p>
      <w:pPr>
        <w:jc w:val="center"/>
        <w:rPr>
          <w:rFonts w:hint="eastAsia" w:ascii="方正小标宋简体" w:eastAsia="方正小标宋简体"/>
          <w:sz w:val="44"/>
          <w:szCs w:val="44"/>
        </w:rPr>
      </w:pPr>
      <w:r>
        <w:rPr>
          <w:rFonts w:hint="eastAsia" w:ascii="方正小标宋简体" w:eastAsia="方正小标宋简体"/>
          <w:sz w:val="44"/>
          <w:szCs w:val="44"/>
        </w:rPr>
        <w:t>政府性基金预算财政拨款收入支出决算表</w:t>
      </w:r>
    </w:p>
    <w:p>
      <w:pPr>
        <w:spacing w:line="400" w:lineRule="exact"/>
        <w:jc w:val="right"/>
        <w:rPr>
          <w:rFonts w:hint="eastAsia" w:ascii="楷体_GB2312" w:eastAsia="楷体_GB2312"/>
          <w:sz w:val="28"/>
          <w:szCs w:val="28"/>
        </w:rPr>
      </w:pPr>
      <w:r>
        <w:rPr>
          <w:rFonts w:hint="eastAsia" w:ascii="楷体_GB2312" w:eastAsia="楷体_GB2312"/>
          <w:sz w:val="28"/>
          <w:szCs w:val="28"/>
        </w:rPr>
        <w:t>公开08表</w:t>
      </w:r>
    </w:p>
    <w:p>
      <w:pPr>
        <w:spacing w:line="400" w:lineRule="exact"/>
        <w:ind w:firstLine="138" w:firstLineChars="50"/>
        <w:jc w:val="right"/>
        <w:rPr>
          <w:rFonts w:hint="eastAsia" w:ascii="楷体_GB2312" w:eastAsia="楷体_GB2312"/>
          <w:sz w:val="28"/>
          <w:szCs w:val="28"/>
        </w:rPr>
      </w:pPr>
      <w:r>
        <w:rPr>
          <w:rFonts w:hint="eastAsia" w:ascii="楷体_GB2312" w:eastAsia="楷体_GB2312"/>
          <w:sz w:val="28"/>
          <w:szCs w:val="28"/>
        </w:rPr>
        <w:t>单位：                                                                            金额单位：万元</w:t>
      </w:r>
    </w:p>
    <w:tbl>
      <w:tblPr>
        <w:tblStyle w:val="11"/>
        <w:tblpPr w:leftFromText="180" w:rightFromText="180" w:vertAnchor="text" w:tblpXSpec="center" w:tblpY="1"/>
        <w:tblOverlap w:val="never"/>
        <w:tblW w:w="0" w:type="auto"/>
        <w:tblInd w:w="0" w:type="dxa"/>
        <w:tblLayout w:type="fixed"/>
        <w:tblCellMar>
          <w:top w:w="0" w:type="dxa"/>
          <w:left w:w="108" w:type="dxa"/>
          <w:bottom w:w="0" w:type="dxa"/>
          <w:right w:w="108" w:type="dxa"/>
        </w:tblCellMar>
      </w:tblPr>
      <w:tblGrid>
        <w:gridCol w:w="1372"/>
        <w:gridCol w:w="56"/>
        <w:gridCol w:w="1429"/>
        <w:gridCol w:w="1731"/>
        <w:gridCol w:w="1707"/>
        <w:gridCol w:w="1708"/>
        <w:gridCol w:w="1708"/>
        <w:gridCol w:w="1708"/>
        <w:gridCol w:w="1791"/>
      </w:tblGrid>
      <w:tr>
        <w:tblPrEx>
          <w:tblCellMar>
            <w:top w:w="0" w:type="dxa"/>
            <w:left w:w="108" w:type="dxa"/>
            <w:bottom w:w="0" w:type="dxa"/>
            <w:right w:w="108" w:type="dxa"/>
          </w:tblCellMar>
        </w:tblPrEx>
        <w:trPr>
          <w:trHeight w:val="453"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       目</w:t>
            </w:r>
          </w:p>
        </w:tc>
        <w:tc>
          <w:tcPr>
            <w:tcW w:w="1731"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年初结转和结余</w:t>
            </w:r>
          </w:p>
        </w:tc>
        <w:tc>
          <w:tcPr>
            <w:tcW w:w="1707" w:type="dxa"/>
            <w:vMerge w:val="restart"/>
            <w:tcBorders>
              <w:top w:val="single" w:color="auto" w:sz="4" w:space="0"/>
              <w:left w:val="nil"/>
              <w:right w:val="single" w:color="auto" w:sz="4" w:space="0"/>
            </w:tcBorders>
            <w:vAlign w:val="center"/>
          </w:tcPr>
          <w:p>
            <w:pPr>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本年收入</w:t>
            </w:r>
          </w:p>
        </w:tc>
        <w:tc>
          <w:tcPr>
            <w:tcW w:w="5124"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本年支出</w:t>
            </w:r>
          </w:p>
        </w:tc>
        <w:tc>
          <w:tcPr>
            <w:tcW w:w="1791" w:type="dxa"/>
            <w:vMerge w:val="restart"/>
            <w:tcBorders>
              <w:top w:val="single" w:color="auto" w:sz="4" w:space="0"/>
              <w:left w:val="nil"/>
              <w:right w:val="single" w:color="auto" w:sz="4" w:space="0"/>
            </w:tcBorders>
            <w:vAlign w:val="center"/>
          </w:tcPr>
          <w:p>
            <w:pPr>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年末结转和结余</w:t>
            </w:r>
          </w:p>
        </w:tc>
      </w:tr>
      <w:tr>
        <w:tblPrEx>
          <w:tblCellMar>
            <w:top w:w="0" w:type="dxa"/>
            <w:left w:w="108" w:type="dxa"/>
            <w:bottom w:w="0" w:type="dxa"/>
            <w:right w:w="108" w:type="dxa"/>
          </w:tblCellMar>
        </w:tblPrEx>
        <w:trPr>
          <w:trHeight w:val="599" w:hRule="atLeast"/>
        </w:trPr>
        <w:tc>
          <w:tcPr>
            <w:tcW w:w="1428"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功能分类  科目编码</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科目名称</w:t>
            </w:r>
          </w:p>
        </w:tc>
        <w:tc>
          <w:tcPr>
            <w:tcW w:w="173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p>
        </w:tc>
        <w:tc>
          <w:tcPr>
            <w:tcW w:w="1707" w:type="dxa"/>
            <w:vMerge w:val="continue"/>
            <w:tcBorders>
              <w:left w:val="nil"/>
              <w:bottom w:val="single" w:color="auto" w:sz="4" w:space="0"/>
              <w:right w:val="single" w:color="auto" w:sz="4" w:space="0"/>
            </w:tcBorders>
            <w:vAlign w:val="center"/>
          </w:tcPr>
          <w:p>
            <w:pPr>
              <w:spacing w:line="300" w:lineRule="exact"/>
              <w:jc w:val="center"/>
              <w:rPr>
                <w:rFonts w:hint="eastAsia" w:ascii="仿宋_GB2312" w:hAnsi="宋体" w:eastAsia="仿宋_GB2312" w:cs="宋体"/>
                <w:kern w:val="0"/>
                <w:sz w:val="22"/>
                <w:szCs w:val="22"/>
              </w:rPr>
            </w:pP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小计</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基本支出</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项目支出</w:t>
            </w:r>
          </w:p>
        </w:tc>
        <w:tc>
          <w:tcPr>
            <w:tcW w:w="1791" w:type="dxa"/>
            <w:vMerge w:val="continue"/>
            <w:tcBorders>
              <w:left w:val="nil"/>
              <w:bottom w:val="single" w:color="auto" w:sz="4" w:space="0"/>
              <w:right w:val="single" w:color="auto" w:sz="4" w:space="0"/>
            </w:tcBorders>
            <w:vAlign w:val="center"/>
          </w:tcPr>
          <w:p>
            <w:pPr>
              <w:spacing w:line="300" w:lineRule="exact"/>
              <w:jc w:val="center"/>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栏  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w:t>
            </w: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2</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4</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5</w:t>
            </w: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6</w:t>
            </w:r>
          </w:p>
        </w:tc>
      </w:tr>
      <w:tr>
        <w:tblPrEx>
          <w:tblCellMar>
            <w:top w:w="0" w:type="dxa"/>
            <w:left w:w="108" w:type="dxa"/>
            <w:bottom w:w="0" w:type="dxa"/>
            <w:right w:w="108" w:type="dxa"/>
          </w:tblCellMar>
        </w:tblPrEx>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合  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szCs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szCs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08" w:type="dxa"/>
            <w:tcBorders>
              <w:top w:val="single" w:color="auto" w:sz="4" w:space="0"/>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szCs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szCs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szCs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szCs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bl>
    <w:p>
      <w:pPr>
        <w:ind w:firstLine="108" w:firstLineChars="50"/>
        <w:rPr>
          <w:rFonts w:hint="eastAsia" w:ascii="仿宋_GB2312" w:hAnsi="宋体" w:eastAsia="仿宋_GB2312"/>
          <w:sz w:val="22"/>
          <w:szCs w:val="22"/>
          <w:lang w:eastAsia="zh-CN"/>
        </w:rPr>
      </w:pPr>
      <w:r>
        <w:rPr>
          <w:rFonts w:hint="eastAsia" w:ascii="仿宋_GB2312" w:hAnsi="宋体" w:eastAsia="仿宋_GB2312"/>
          <w:sz w:val="22"/>
          <w:szCs w:val="22"/>
        </w:rPr>
        <w:t>注：</w:t>
      </w:r>
      <w:r>
        <w:rPr>
          <w:rFonts w:hint="eastAsia" w:ascii="仿宋_GB2312" w:eastAsia="仿宋_GB2312"/>
          <w:b/>
          <w:sz w:val="28"/>
          <w:szCs w:val="28"/>
        </w:rPr>
        <w:t>本单位没有政府性基金收入，也没有使用政府性基金安排的支出，故本表无数据</w:t>
      </w:r>
      <w:r>
        <w:rPr>
          <w:rFonts w:hint="eastAsia" w:ascii="仿宋_GB2312" w:eastAsia="仿宋_GB2312"/>
          <w:b/>
          <w:sz w:val="28"/>
          <w:szCs w:val="28"/>
          <w:lang w:eastAsia="zh-CN"/>
        </w:rPr>
        <w:t>。</w:t>
      </w:r>
    </w:p>
    <w:p>
      <w:pPr>
        <w:rPr>
          <w:rFonts w:hint="eastAsia" w:ascii="仿宋_GB2312" w:hAnsi="宋体" w:eastAsia="仿宋_GB2312"/>
          <w:sz w:val="22"/>
          <w:szCs w:val="22"/>
        </w:rPr>
        <w:sectPr>
          <w:pgSz w:w="16838" w:h="11906" w:orient="landscape"/>
          <w:pgMar w:top="1531" w:right="1701" w:bottom="1531" w:left="1701" w:header="0" w:footer="1418" w:gutter="0"/>
          <w:cols w:space="720" w:num="1"/>
          <w:docGrid w:type="linesAndChars" w:linePitch="610" w:charSpace="-849"/>
        </w:sectPr>
      </w:pPr>
    </w:p>
    <w:p>
      <w:pPr>
        <w:jc w:val="center"/>
        <w:rPr>
          <w:rFonts w:hint="eastAsia" w:ascii="方正小标宋简体" w:eastAsia="方正小标宋简体"/>
          <w:sz w:val="44"/>
          <w:szCs w:val="44"/>
        </w:rPr>
      </w:pPr>
      <w:r>
        <w:rPr>
          <w:rFonts w:hint="eastAsia" w:ascii="方正小标宋简体" w:eastAsia="方正小标宋简体"/>
          <w:sz w:val="44"/>
          <w:szCs w:val="44"/>
        </w:rPr>
        <w:t>国有资本经营预算财政拨款支出决算表</w:t>
      </w:r>
    </w:p>
    <w:p>
      <w:pPr>
        <w:spacing w:line="400" w:lineRule="exact"/>
        <w:jc w:val="right"/>
        <w:rPr>
          <w:rFonts w:hint="eastAsia" w:ascii="楷体_GB2312" w:eastAsia="楷体_GB2312"/>
          <w:sz w:val="28"/>
          <w:szCs w:val="28"/>
        </w:rPr>
      </w:pPr>
      <w:r>
        <w:rPr>
          <w:rFonts w:hint="eastAsia" w:ascii="楷体_GB2312" w:eastAsia="楷体_GB2312"/>
          <w:sz w:val="28"/>
          <w:szCs w:val="28"/>
        </w:rPr>
        <w:t>公开09表</w:t>
      </w:r>
    </w:p>
    <w:p>
      <w:pPr>
        <w:wordWrap w:val="0"/>
        <w:spacing w:line="400" w:lineRule="exact"/>
        <w:ind w:firstLine="138" w:firstLineChars="50"/>
        <w:jc w:val="right"/>
        <w:rPr>
          <w:rFonts w:hint="eastAsia" w:ascii="楷体_GB2312" w:eastAsia="楷体_GB2312"/>
          <w:sz w:val="28"/>
          <w:szCs w:val="28"/>
        </w:rPr>
      </w:pPr>
      <w:r>
        <w:rPr>
          <w:rFonts w:hint="eastAsia" w:ascii="楷体_GB2312" w:eastAsia="楷体_GB2312"/>
          <w:sz w:val="28"/>
          <w:szCs w:val="28"/>
        </w:rPr>
        <w:t xml:space="preserve">单位：                                                         </w:t>
      </w:r>
      <w:r>
        <w:rPr>
          <w:rFonts w:ascii="楷体_GB2312" w:eastAsia="楷体_GB2312"/>
          <w:sz w:val="28"/>
          <w:szCs w:val="28"/>
        </w:rPr>
        <w:t xml:space="preserve">  </w:t>
      </w:r>
      <w:r>
        <w:rPr>
          <w:rFonts w:hint="eastAsia" w:ascii="楷体_GB2312" w:eastAsia="楷体_GB2312"/>
          <w:sz w:val="28"/>
          <w:szCs w:val="28"/>
        </w:rPr>
        <w:t xml:space="preserve">                 金额单位：万元</w:t>
      </w:r>
    </w:p>
    <w:tbl>
      <w:tblPr>
        <w:tblStyle w:val="11"/>
        <w:tblW w:w="0" w:type="auto"/>
        <w:jc w:val="center"/>
        <w:tblLayout w:type="fixed"/>
        <w:tblCellMar>
          <w:top w:w="0" w:type="dxa"/>
          <w:left w:w="108" w:type="dxa"/>
          <w:bottom w:w="0" w:type="dxa"/>
          <w:right w:w="108" w:type="dxa"/>
        </w:tblCellMar>
      </w:tblPr>
      <w:tblGrid>
        <w:gridCol w:w="1701"/>
        <w:gridCol w:w="3170"/>
        <w:gridCol w:w="2783"/>
        <w:gridCol w:w="2978"/>
        <w:gridCol w:w="2520"/>
      </w:tblGrid>
      <w:tr>
        <w:tblPrEx>
          <w:tblCellMar>
            <w:top w:w="0" w:type="dxa"/>
            <w:left w:w="108" w:type="dxa"/>
            <w:bottom w:w="0" w:type="dxa"/>
            <w:right w:w="108" w:type="dxa"/>
          </w:tblCellMar>
        </w:tblPrEx>
        <w:trPr>
          <w:trHeight w:val="428" w:hRule="atLeas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       目</w:t>
            </w:r>
          </w:p>
        </w:tc>
        <w:tc>
          <w:tcPr>
            <w:tcW w:w="828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本年支出</w:t>
            </w:r>
          </w:p>
        </w:tc>
      </w:tr>
      <w:tr>
        <w:tblPrEx>
          <w:tblCellMar>
            <w:top w:w="0" w:type="dxa"/>
            <w:left w:w="108" w:type="dxa"/>
            <w:bottom w:w="0" w:type="dxa"/>
            <w:right w:w="108" w:type="dxa"/>
          </w:tblCellMar>
        </w:tblPrEx>
        <w:trPr>
          <w:trHeight w:val="675"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功能分类</w:t>
            </w:r>
          </w:p>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科目编码</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科目名称</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小计</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基本支出</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项目支出</w:t>
            </w:r>
          </w:p>
        </w:tc>
      </w:tr>
      <w:tr>
        <w:tblPrEx>
          <w:tblCellMar>
            <w:top w:w="0" w:type="dxa"/>
            <w:left w:w="108" w:type="dxa"/>
            <w:bottom w:w="0" w:type="dxa"/>
            <w:right w:w="108" w:type="dxa"/>
          </w:tblCellMar>
        </w:tblPrEx>
        <w:trPr>
          <w:trHeight w:val="454"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栏  次</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2</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3</w:t>
            </w:r>
          </w:p>
        </w:tc>
      </w:tr>
      <w:tr>
        <w:tblPrEx>
          <w:tblCellMar>
            <w:top w:w="0" w:type="dxa"/>
            <w:left w:w="108" w:type="dxa"/>
            <w:bottom w:w="0" w:type="dxa"/>
            <w:right w:w="108" w:type="dxa"/>
          </w:tblCellMar>
        </w:tblPrEx>
        <w:trPr>
          <w:trHeight w:val="454"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合  计</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978" w:type="dxa"/>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bl>
    <w:p>
      <w:pPr>
        <w:spacing w:line="400" w:lineRule="exact"/>
        <w:ind w:firstLine="108" w:firstLineChars="50"/>
        <w:jc w:val="left"/>
        <w:rPr>
          <w:rFonts w:hint="eastAsia" w:ascii="仿宋_GB2312" w:hAnsi="宋体" w:eastAsia="仿宋_GB2312"/>
          <w:sz w:val="22"/>
          <w:szCs w:val="22"/>
        </w:rPr>
      </w:pPr>
      <w:r>
        <w:rPr>
          <w:rFonts w:hint="eastAsia" w:ascii="仿宋_GB2312" w:hAnsi="宋体" w:eastAsia="仿宋_GB2312"/>
          <w:sz w:val="22"/>
          <w:szCs w:val="22"/>
        </w:rPr>
        <w:t>注：</w:t>
      </w:r>
      <w:r>
        <w:rPr>
          <w:rFonts w:hint="eastAsia" w:ascii="仿宋_GB2312" w:eastAsia="仿宋_GB2312"/>
          <w:b/>
          <w:sz w:val="28"/>
          <w:szCs w:val="28"/>
        </w:rPr>
        <w:t>本单位没有使用国有资本经营预算安排的支出，故本表无数据。</w:t>
      </w:r>
    </w:p>
    <w:p>
      <w:pPr>
        <w:spacing w:line="400" w:lineRule="exact"/>
        <w:jc w:val="left"/>
        <w:rPr>
          <w:rFonts w:ascii="仿宋_GB2312" w:hAnsi="宋体" w:eastAsia="仿宋_GB2312"/>
          <w:sz w:val="22"/>
          <w:szCs w:val="22"/>
        </w:rPr>
        <w:sectPr>
          <w:pgSz w:w="16838" w:h="11906" w:orient="landscape"/>
          <w:pgMar w:top="1531" w:right="1701" w:bottom="1531" w:left="1701" w:header="0" w:footer="1418" w:gutter="0"/>
          <w:cols w:space="720" w:num="1"/>
          <w:docGrid w:type="linesAndChars" w:linePitch="610" w:charSpace="-849"/>
        </w:sectPr>
      </w:pPr>
    </w:p>
    <w:p>
      <w:pPr>
        <w:jc w:val="center"/>
        <w:rPr>
          <w:rFonts w:hint="eastAsia" w:ascii="方正小标宋简体" w:eastAsia="方正小标宋简体"/>
          <w:sz w:val="42"/>
        </w:rPr>
      </w:pPr>
    </w:p>
    <w:p>
      <w:pPr>
        <w:jc w:val="center"/>
        <w:rPr>
          <w:rFonts w:hint="eastAsia" w:ascii="方正小标宋简体" w:eastAsia="方正小标宋简体"/>
          <w:sz w:val="42"/>
        </w:rPr>
      </w:pPr>
    </w:p>
    <w:p>
      <w:pPr>
        <w:jc w:val="center"/>
        <w:rPr>
          <w:rFonts w:hint="eastAsia" w:ascii="方正小标宋简体" w:eastAsia="方正小标宋简体"/>
          <w:sz w:val="42"/>
        </w:rPr>
      </w:pPr>
    </w:p>
    <w:p>
      <w:pPr>
        <w:ind w:firstLine="536" w:firstLineChars="100"/>
        <w:rPr>
          <w:rFonts w:hint="eastAsia" w:ascii="方正小标宋简体" w:eastAsia="方正小标宋简体"/>
          <w:spacing w:val="60"/>
          <w:sz w:val="42"/>
        </w:rPr>
      </w:pPr>
      <w:r>
        <w:rPr>
          <w:rFonts w:hint="eastAsia" w:ascii="方正小标宋简体" w:eastAsia="方正小标宋简体"/>
          <w:spacing w:val="60"/>
          <w:sz w:val="42"/>
        </w:rPr>
        <w:t>第三部分</w:t>
      </w:r>
    </w:p>
    <w:p>
      <w:pPr>
        <w:spacing w:line="800" w:lineRule="exact"/>
        <w:jc w:val="center"/>
        <w:rPr>
          <w:rFonts w:hint="eastAsia" w:ascii="方正小标宋简体" w:eastAsia="方正小标宋简体"/>
          <w:spacing w:val="60"/>
          <w:sz w:val="48"/>
        </w:rPr>
      </w:pPr>
    </w:p>
    <w:p>
      <w:pPr>
        <w:spacing w:line="800" w:lineRule="exact"/>
        <w:jc w:val="center"/>
        <w:rPr>
          <w:rFonts w:hint="eastAsia" w:ascii="方正小标宋简体" w:eastAsia="方正小标宋简体"/>
          <w:spacing w:val="60"/>
          <w:sz w:val="48"/>
        </w:rPr>
      </w:pPr>
    </w:p>
    <w:p>
      <w:pPr>
        <w:spacing w:line="800" w:lineRule="exact"/>
        <w:jc w:val="center"/>
        <w:rPr>
          <w:rFonts w:ascii="方正小标宋简体" w:eastAsia="方正小标宋简体"/>
          <w:spacing w:val="60"/>
          <w:sz w:val="48"/>
        </w:rPr>
        <w:sectPr>
          <w:pgSz w:w="11906" w:h="16838"/>
          <w:pgMar w:top="1701" w:right="1531" w:bottom="1701" w:left="1531" w:header="0" w:footer="1418" w:gutter="0"/>
          <w:cols w:space="720" w:num="1"/>
          <w:docGrid w:type="linesAndChars" w:linePitch="610" w:charSpace="-849"/>
        </w:sectPr>
      </w:pPr>
      <w:r>
        <w:rPr>
          <w:rFonts w:hint="eastAsia" w:ascii="方正小标宋简体" w:eastAsia="方正小标宋简体"/>
          <w:spacing w:val="60"/>
          <w:sz w:val="48"/>
        </w:rPr>
        <w:t>2021年度单位决算情况说明</w:t>
      </w:r>
    </w:p>
    <w:p>
      <w:pPr>
        <w:spacing w:line="580" w:lineRule="exact"/>
        <w:ind w:firstLine="640" w:firstLineChars="200"/>
        <w:rPr>
          <w:rFonts w:hint="eastAsia" w:ascii="黑体" w:hAnsi="黑体" w:eastAsia="黑体"/>
          <w:szCs w:val="32"/>
        </w:rPr>
      </w:pPr>
      <w:r>
        <w:rPr>
          <w:rFonts w:hint="eastAsia" w:ascii="黑体" w:hAnsi="黑体" w:eastAsia="黑体"/>
          <w:szCs w:val="32"/>
        </w:rPr>
        <w:t>一、收入支出决算总体情况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年度收入总计</w:t>
      </w:r>
      <w:r>
        <w:rPr>
          <w:rFonts w:hint="eastAsia" w:ascii="仿宋_GB2312" w:eastAsia="仿宋_GB2312"/>
          <w:sz w:val="32"/>
          <w:szCs w:val="32"/>
          <w:lang w:val="en-US" w:eastAsia="zh-CN"/>
        </w:rPr>
        <w:t>2,514.66</w:t>
      </w:r>
      <w:r>
        <w:rPr>
          <w:rFonts w:hint="eastAsia" w:ascii="仿宋_GB2312" w:eastAsia="仿宋_GB2312"/>
          <w:sz w:val="32"/>
          <w:szCs w:val="32"/>
        </w:rPr>
        <w:t>万元，支出总计</w:t>
      </w:r>
      <w:r>
        <w:rPr>
          <w:rFonts w:hint="eastAsia" w:ascii="仿宋_GB2312" w:eastAsia="仿宋_GB2312"/>
          <w:sz w:val="32"/>
          <w:szCs w:val="32"/>
          <w:lang w:val="en-US" w:eastAsia="zh-CN"/>
        </w:rPr>
        <w:t>2,514.66</w:t>
      </w:r>
      <w:r>
        <w:rPr>
          <w:rFonts w:hint="eastAsia" w:ascii="仿宋_GB2312" w:eastAsia="仿宋_GB2312"/>
          <w:sz w:val="32"/>
          <w:szCs w:val="32"/>
        </w:rPr>
        <w:t>万元。与20</w:t>
      </w:r>
      <w:r>
        <w:rPr>
          <w:rFonts w:hint="eastAsia" w:ascii="仿宋_GB2312" w:eastAsia="仿宋_GB2312"/>
          <w:sz w:val="32"/>
          <w:szCs w:val="32"/>
          <w:lang w:val="en-US" w:eastAsia="zh-CN"/>
        </w:rPr>
        <w:t>20</w:t>
      </w:r>
      <w:r>
        <w:rPr>
          <w:rFonts w:hint="eastAsia" w:ascii="仿宋_GB2312" w:eastAsia="仿宋_GB2312"/>
          <w:sz w:val="32"/>
          <w:szCs w:val="32"/>
        </w:rPr>
        <w:t>年度相比，收、支总计各增加</w:t>
      </w:r>
      <w:r>
        <w:rPr>
          <w:rFonts w:hint="eastAsia" w:ascii="仿宋_GB2312" w:eastAsia="仿宋_GB2312"/>
          <w:sz w:val="32"/>
          <w:szCs w:val="32"/>
          <w:lang w:val="en-US" w:eastAsia="zh-CN"/>
        </w:rPr>
        <w:t>585.65</w:t>
      </w:r>
      <w:r>
        <w:rPr>
          <w:rFonts w:hint="eastAsia" w:ascii="仿宋_GB2312" w:eastAsia="仿宋_GB2312"/>
          <w:sz w:val="32"/>
          <w:szCs w:val="32"/>
        </w:rPr>
        <w:t>万元，增长</w:t>
      </w:r>
      <w:r>
        <w:rPr>
          <w:rFonts w:hint="eastAsia" w:ascii="仿宋_GB2312" w:eastAsia="仿宋_GB2312"/>
          <w:sz w:val="32"/>
          <w:szCs w:val="32"/>
          <w:lang w:val="en-US" w:eastAsia="zh-CN"/>
        </w:rPr>
        <w:t>23.3</w:t>
      </w:r>
      <w:r>
        <w:rPr>
          <w:rFonts w:hint="eastAsia" w:ascii="仿宋_GB2312" w:eastAsia="仿宋_GB2312"/>
          <w:sz w:val="32"/>
          <w:szCs w:val="32"/>
        </w:rPr>
        <w:t>%。主要是</w:t>
      </w:r>
      <w:r>
        <w:rPr>
          <w:rFonts w:hint="eastAsia" w:ascii="仿宋_GB2312" w:eastAsia="仿宋_GB2312"/>
          <w:sz w:val="32"/>
          <w:szCs w:val="32"/>
          <w:lang w:val="en-US" w:eastAsia="zh-CN"/>
        </w:rPr>
        <w:t>财政收入</w:t>
      </w:r>
      <w:r>
        <w:rPr>
          <w:rFonts w:hint="eastAsia" w:ascii="仿宋_GB2312" w:eastAsia="仿宋_GB2312"/>
          <w:sz w:val="32"/>
          <w:szCs w:val="32"/>
        </w:rPr>
        <w:t>增加</w:t>
      </w:r>
      <w:r>
        <w:rPr>
          <w:rFonts w:hint="eastAsia" w:ascii="仿宋_GB2312" w:eastAsia="仿宋_GB2312"/>
          <w:sz w:val="32"/>
          <w:szCs w:val="32"/>
          <w:lang w:eastAsia="zh-CN"/>
        </w:rPr>
        <w:t>，</w:t>
      </w:r>
      <w:r>
        <w:rPr>
          <w:rFonts w:hint="eastAsia" w:ascii="仿宋_GB2312" w:eastAsia="仿宋_GB2312"/>
          <w:sz w:val="32"/>
          <w:szCs w:val="32"/>
          <w:lang w:val="en-US" w:eastAsia="zh-CN"/>
        </w:rPr>
        <w:t>教师工资支出增加</w:t>
      </w:r>
      <w:r>
        <w:rPr>
          <w:rFonts w:hint="eastAsia" w:ascii="仿宋_GB2312" w:eastAsia="仿宋_GB2312"/>
          <w:sz w:val="32"/>
          <w:szCs w:val="32"/>
        </w:rPr>
        <w:t>。</w:t>
      </w:r>
    </w:p>
    <w:p>
      <w:pPr>
        <w:spacing w:line="580" w:lineRule="exact"/>
        <w:ind w:firstLine="640" w:firstLineChars="200"/>
        <w:rPr>
          <w:rFonts w:hint="eastAsia" w:ascii="黑体" w:hAnsi="黑体" w:eastAsia="黑体"/>
          <w:szCs w:val="32"/>
        </w:rPr>
      </w:pPr>
      <w:r>
        <w:rPr>
          <w:rFonts w:hint="eastAsia" w:ascii="黑体" w:hAnsi="黑体" w:eastAsia="黑体"/>
          <w:szCs w:val="32"/>
        </w:rPr>
        <w:t>二、收入决算情况</w:t>
      </w:r>
    </w:p>
    <w:p>
      <w:pPr>
        <w:spacing w:line="580" w:lineRule="exact"/>
        <w:ind w:firstLine="640" w:firstLineChars="200"/>
        <w:rPr>
          <w:rFonts w:hint="eastAsia" w:ascii="仿宋_GB2312" w:eastAsia="仿宋_GB2312"/>
          <w:szCs w:val="32"/>
        </w:rPr>
      </w:pPr>
      <w:r>
        <w:rPr>
          <w:rFonts w:hint="eastAsia" w:ascii="仿宋_GB2312" w:eastAsia="仿宋_GB2312"/>
          <w:szCs w:val="32"/>
        </w:rPr>
        <w:t>本年收入合计</w:t>
      </w:r>
      <w:r>
        <w:rPr>
          <w:rFonts w:hint="eastAsia" w:ascii="仿宋_GB2312" w:eastAsia="仿宋_GB2312"/>
          <w:sz w:val="32"/>
          <w:szCs w:val="32"/>
          <w:lang w:val="en-US" w:eastAsia="zh-CN"/>
        </w:rPr>
        <w:t>2,510.08</w:t>
      </w:r>
      <w:r>
        <w:rPr>
          <w:rFonts w:hint="eastAsia" w:ascii="仿宋_GB2312" w:eastAsia="仿宋_GB2312"/>
          <w:szCs w:val="32"/>
        </w:rPr>
        <w:t>万元，其中：财政拨款收入2,510.08万元，占</w:t>
      </w:r>
      <w:r>
        <w:rPr>
          <w:rFonts w:hint="eastAsia" w:ascii="仿宋_GB2312" w:eastAsia="仿宋_GB2312"/>
          <w:szCs w:val="32"/>
          <w:lang w:val="en-US" w:eastAsia="zh-CN"/>
        </w:rPr>
        <w:t>99</w:t>
      </w:r>
      <w:r>
        <w:rPr>
          <w:rFonts w:hint="eastAsia" w:ascii="仿宋_GB2312" w:eastAsia="仿宋_GB2312"/>
          <w:szCs w:val="32"/>
        </w:rPr>
        <w:t>%；上级补助收</w:t>
      </w:r>
      <w:r>
        <w:rPr>
          <w:rFonts w:hint="eastAsia" w:ascii="仿宋_GB2312" w:eastAsia="仿宋_GB2312"/>
          <w:szCs w:val="32"/>
          <w:lang w:val="en-US" w:eastAsia="zh-CN"/>
        </w:rPr>
        <w:t>0</w:t>
      </w:r>
      <w:r>
        <w:rPr>
          <w:rFonts w:hint="eastAsia" w:ascii="仿宋_GB2312" w:eastAsia="仿宋_GB2312"/>
          <w:szCs w:val="32"/>
        </w:rPr>
        <w:t>万元，占</w:t>
      </w:r>
      <w:r>
        <w:rPr>
          <w:rFonts w:hint="eastAsia" w:ascii="仿宋_GB2312" w:eastAsia="仿宋_GB2312"/>
          <w:szCs w:val="32"/>
          <w:lang w:val="en-US" w:eastAsia="zh-CN"/>
        </w:rPr>
        <w:t>0</w:t>
      </w:r>
      <w:r>
        <w:rPr>
          <w:rFonts w:hint="eastAsia" w:ascii="仿宋_GB2312" w:eastAsia="仿宋_GB2312"/>
          <w:szCs w:val="32"/>
        </w:rPr>
        <w:t>%；</w:t>
      </w:r>
      <w:r>
        <w:rPr>
          <w:rFonts w:hint="eastAsia" w:ascii="仿宋_GB2312" w:eastAsia="仿宋_GB2312"/>
          <w:szCs w:val="32"/>
          <w:lang w:val="en-US" w:eastAsia="zh-CN"/>
        </w:rPr>
        <w:t>事业</w:t>
      </w:r>
      <w:r>
        <w:rPr>
          <w:rFonts w:hint="eastAsia" w:ascii="仿宋_GB2312" w:eastAsia="仿宋_GB2312"/>
          <w:szCs w:val="32"/>
        </w:rPr>
        <w:t>收入</w:t>
      </w:r>
      <w:r>
        <w:rPr>
          <w:rFonts w:hint="eastAsia" w:ascii="仿宋_GB2312" w:eastAsia="仿宋_GB2312"/>
          <w:szCs w:val="32"/>
          <w:lang w:val="en-US" w:eastAsia="zh-CN"/>
        </w:rPr>
        <w:t>4.58</w:t>
      </w:r>
      <w:r>
        <w:rPr>
          <w:rFonts w:hint="eastAsia" w:ascii="仿宋_GB2312" w:eastAsia="仿宋_GB2312"/>
          <w:szCs w:val="32"/>
        </w:rPr>
        <w:t>万元，占</w:t>
      </w:r>
      <w:r>
        <w:rPr>
          <w:rFonts w:hint="eastAsia" w:ascii="仿宋_GB2312" w:eastAsia="仿宋_GB2312"/>
          <w:szCs w:val="32"/>
          <w:lang w:val="en-US" w:eastAsia="zh-CN"/>
        </w:rPr>
        <w:t>1</w:t>
      </w:r>
      <w:r>
        <w:rPr>
          <w:rFonts w:hint="eastAsia" w:ascii="仿宋_GB2312" w:eastAsia="仿宋_GB2312"/>
          <w:szCs w:val="32"/>
        </w:rPr>
        <w:t>%。</w:t>
      </w:r>
    </w:p>
    <w:p>
      <w:pPr>
        <w:spacing w:line="580" w:lineRule="exact"/>
        <w:ind w:firstLine="640" w:firstLineChars="200"/>
        <w:rPr>
          <w:rFonts w:hint="eastAsia" w:ascii="黑体" w:hAnsi="黑体" w:eastAsia="黑体"/>
          <w:szCs w:val="32"/>
        </w:rPr>
      </w:pPr>
      <w:r>
        <w:rPr>
          <w:rFonts w:hint="eastAsia" w:ascii="黑体" w:hAnsi="黑体" w:eastAsia="黑体"/>
          <w:szCs w:val="32"/>
        </w:rPr>
        <w:t>三、支出决算情况</w:t>
      </w:r>
    </w:p>
    <w:p>
      <w:pPr>
        <w:spacing w:line="580" w:lineRule="exact"/>
        <w:ind w:firstLine="640" w:firstLineChars="200"/>
        <w:rPr>
          <w:rFonts w:hint="eastAsia" w:ascii="黑体" w:hAnsi="黑体" w:eastAsia="黑体"/>
          <w:szCs w:val="32"/>
        </w:rPr>
      </w:pPr>
      <w:r>
        <w:rPr>
          <w:rFonts w:hint="eastAsia" w:ascii="仿宋_GB2312" w:eastAsia="仿宋_GB2312"/>
          <w:szCs w:val="32"/>
        </w:rPr>
        <w:t>本年支出合计</w:t>
      </w:r>
      <w:r>
        <w:rPr>
          <w:rFonts w:hint="eastAsia" w:ascii="仿宋_GB2312" w:eastAsia="仿宋_GB2312"/>
          <w:sz w:val="32"/>
          <w:szCs w:val="32"/>
          <w:lang w:val="en-US" w:eastAsia="zh-CN"/>
        </w:rPr>
        <w:t>,2510.08</w:t>
      </w:r>
      <w:r>
        <w:rPr>
          <w:rFonts w:hint="eastAsia" w:ascii="仿宋_GB2312" w:eastAsia="仿宋_GB2312"/>
          <w:szCs w:val="32"/>
        </w:rPr>
        <w:t>万元，其中：基本支出</w:t>
      </w:r>
      <w:r>
        <w:rPr>
          <w:rFonts w:hint="eastAsia" w:ascii="仿宋_GB2312" w:eastAsia="仿宋_GB2312"/>
          <w:szCs w:val="32"/>
          <w:lang w:val="en-US" w:eastAsia="zh-CN"/>
        </w:rPr>
        <w:t>2470.5</w:t>
      </w:r>
      <w:r>
        <w:rPr>
          <w:rFonts w:hint="eastAsia" w:ascii="仿宋_GB2312" w:eastAsia="仿宋_GB2312"/>
          <w:szCs w:val="32"/>
        </w:rPr>
        <w:t>万元，占</w:t>
      </w:r>
      <w:r>
        <w:rPr>
          <w:rFonts w:hint="eastAsia" w:ascii="仿宋_GB2312" w:eastAsia="仿宋_GB2312"/>
          <w:szCs w:val="32"/>
          <w:lang w:val="en-US" w:eastAsia="zh-CN"/>
        </w:rPr>
        <w:t>98</w:t>
      </w:r>
      <w:r>
        <w:rPr>
          <w:rFonts w:hint="eastAsia" w:ascii="仿宋_GB2312" w:eastAsia="仿宋_GB2312"/>
          <w:szCs w:val="32"/>
        </w:rPr>
        <w:t>%；项目支出</w:t>
      </w:r>
      <w:r>
        <w:rPr>
          <w:rFonts w:hint="eastAsia" w:ascii="仿宋_GB2312" w:eastAsia="仿宋_GB2312"/>
          <w:szCs w:val="32"/>
          <w:lang w:val="en-US" w:eastAsia="zh-CN"/>
        </w:rPr>
        <w:t>44.16</w:t>
      </w:r>
      <w:r>
        <w:rPr>
          <w:rFonts w:hint="eastAsia" w:ascii="仿宋_GB2312" w:eastAsia="仿宋_GB2312"/>
          <w:szCs w:val="32"/>
        </w:rPr>
        <w:t>万元，占</w:t>
      </w:r>
      <w:r>
        <w:rPr>
          <w:rFonts w:hint="eastAsia" w:ascii="仿宋_GB2312" w:eastAsia="仿宋_GB2312"/>
          <w:szCs w:val="32"/>
          <w:lang w:val="en-US" w:eastAsia="zh-CN"/>
        </w:rPr>
        <w:t>2</w:t>
      </w:r>
      <w:r>
        <w:rPr>
          <w:rFonts w:hint="eastAsia" w:ascii="仿宋_GB2312" w:eastAsia="仿宋_GB2312"/>
          <w:szCs w:val="32"/>
        </w:rPr>
        <w:t>%；</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年度</w:t>
      </w:r>
      <w:r>
        <w:rPr>
          <w:rFonts w:hint="eastAsia" w:ascii="仿宋_GB2312" w:eastAsia="仿宋_GB2312"/>
          <w:sz w:val="32"/>
          <w:szCs w:val="32"/>
          <w:lang w:val="en-US" w:eastAsia="zh-CN"/>
        </w:rPr>
        <w:t>财政拨款</w:t>
      </w:r>
      <w:r>
        <w:rPr>
          <w:rFonts w:hint="eastAsia" w:ascii="仿宋_GB2312" w:eastAsia="仿宋_GB2312"/>
          <w:sz w:val="32"/>
          <w:szCs w:val="32"/>
        </w:rPr>
        <w:t>收入总计</w:t>
      </w:r>
      <w:r>
        <w:rPr>
          <w:rFonts w:hint="eastAsia" w:ascii="仿宋_GB2312" w:eastAsia="仿宋_GB2312"/>
          <w:sz w:val="32"/>
          <w:szCs w:val="32"/>
          <w:lang w:val="en-US" w:eastAsia="zh-CN"/>
        </w:rPr>
        <w:t>2,510.08</w:t>
      </w:r>
      <w:r>
        <w:rPr>
          <w:rFonts w:hint="eastAsia" w:ascii="仿宋_GB2312" w:eastAsia="仿宋_GB2312"/>
          <w:sz w:val="32"/>
          <w:szCs w:val="32"/>
        </w:rPr>
        <w:t>万元，支出总计</w:t>
      </w:r>
      <w:r>
        <w:rPr>
          <w:rFonts w:hint="eastAsia" w:ascii="仿宋_GB2312" w:eastAsia="仿宋_GB2312"/>
          <w:sz w:val="32"/>
          <w:szCs w:val="32"/>
          <w:lang w:val="en-US" w:eastAsia="zh-CN"/>
        </w:rPr>
        <w:t>2,510.08</w:t>
      </w:r>
      <w:r>
        <w:rPr>
          <w:rFonts w:hint="eastAsia" w:ascii="仿宋_GB2312" w:eastAsia="仿宋_GB2312"/>
          <w:sz w:val="32"/>
          <w:szCs w:val="32"/>
        </w:rPr>
        <w:t>万元。与20</w:t>
      </w:r>
      <w:r>
        <w:rPr>
          <w:rFonts w:hint="eastAsia" w:ascii="仿宋_GB2312" w:eastAsia="仿宋_GB2312"/>
          <w:sz w:val="32"/>
          <w:szCs w:val="32"/>
          <w:lang w:val="en-US" w:eastAsia="zh-CN"/>
        </w:rPr>
        <w:t>20</w:t>
      </w:r>
      <w:r>
        <w:rPr>
          <w:rFonts w:hint="eastAsia" w:ascii="仿宋_GB2312" w:eastAsia="仿宋_GB2312"/>
          <w:sz w:val="32"/>
          <w:szCs w:val="32"/>
        </w:rPr>
        <w:t>年度相比，收、支总计各增加</w:t>
      </w:r>
      <w:r>
        <w:rPr>
          <w:rFonts w:hint="eastAsia" w:ascii="仿宋_GB2312" w:eastAsia="仿宋_GB2312"/>
          <w:sz w:val="32"/>
          <w:szCs w:val="32"/>
          <w:lang w:val="en-US" w:eastAsia="zh-CN"/>
        </w:rPr>
        <w:t>589.53</w:t>
      </w:r>
      <w:r>
        <w:rPr>
          <w:rFonts w:hint="eastAsia" w:ascii="仿宋_GB2312" w:eastAsia="仿宋_GB2312"/>
          <w:sz w:val="32"/>
          <w:szCs w:val="32"/>
        </w:rPr>
        <w:t>万元，增长</w:t>
      </w:r>
      <w:r>
        <w:rPr>
          <w:rFonts w:hint="eastAsia" w:ascii="仿宋_GB2312" w:eastAsia="仿宋_GB2312"/>
          <w:sz w:val="32"/>
          <w:szCs w:val="32"/>
          <w:lang w:val="en-US" w:eastAsia="zh-CN"/>
        </w:rPr>
        <w:t>23.4</w:t>
      </w:r>
      <w:r>
        <w:rPr>
          <w:rFonts w:hint="eastAsia" w:ascii="仿宋_GB2312" w:eastAsia="仿宋_GB2312"/>
          <w:sz w:val="32"/>
          <w:szCs w:val="32"/>
        </w:rPr>
        <w:t>%。主要是</w:t>
      </w:r>
      <w:r>
        <w:rPr>
          <w:rFonts w:hint="eastAsia" w:ascii="仿宋_GB2312" w:eastAsia="仿宋_GB2312"/>
          <w:sz w:val="32"/>
          <w:szCs w:val="32"/>
          <w:lang w:val="en-US" w:eastAsia="zh-CN"/>
        </w:rPr>
        <w:t>财政收入</w:t>
      </w:r>
      <w:r>
        <w:rPr>
          <w:rFonts w:hint="eastAsia" w:ascii="仿宋_GB2312" w:eastAsia="仿宋_GB2312"/>
          <w:sz w:val="32"/>
          <w:szCs w:val="32"/>
        </w:rPr>
        <w:t>增加</w:t>
      </w:r>
      <w:r>
        <w:rPr>
          <w:rFonts w:hint="eastAsia" w:ascii="仿宋_GB2312" w:eastAsia="仿宋_GB2312"/>
          <w:sz w:val="32"/>
          <w:szCs w:val="32"/>
          <w:lang w:eastAsia="zh-CN"/>
        </w:rPr>
        <w:t>。</w:t>
      </w:r>
    </w:p>
    <w:p>
      <w:pPr>
        <w:spacing w:line="580" w:lineRule="exact"/>
        <w:ind w:firstLine="640" w:firstLineChars="200"/>
        <w:rPr>
          <w:rFonts w:hint="eastAsia" w:ascii="黑体" w:hAnsi="黑体" w:eastAsia="黑体"/>
          <w:szCs w:val="32"/>
        </w:rPr>
      </w:pPr>
      <w:r>
        <w:rPr>
          <w:rFonts w:hint="eastAsia" w:ascii="黑体" w:hAnsi="黑体" w:eastAsia="黑体"/>
          <w:szCs w:val="32"/>
        </w:rPr>
        <w:t>五、一般公共预算财政拨款支出决算情况</w:t>
      </w:r>
    </w:p>
    <w:p>
      <w:pPr>
        <w:spacing w:line="580" w:lineRule="exact"/>
        <w:ind w:firstLine="640" w:firstLineChars="200"/>
        <w:rPr>
          <w:rFonts w:hint="eastAsia" w:ascii="楷体_GB2312" w:eastAsia="楷体_GB2312"/>
          <w:szCs w:val="32"/>
        </w:rPr>
      </w:pPr>
      <w:r>
        <w:rPr>
          <w:rFonts w:hint="eastAsia" w:ascii="楷体_GB2312" w:eastAsia="楷体_GB2312"/>
          <w:szCs w:val="32"/>
        </w:rPr>
        <w:t>（一）一般公共预算财政拨款支出决算总体情况</w:t>
      </w:r>
    </w:p>
    <w:p>
      <w:pPr>
        <w:spacing w:line="580" w:lineRule="exact"/>
        <w:ind w:firstLine="640" w:firstLineChars="200"/>
        <w:rPr>
          <w:rFonts w:hint="eastAsia" w:ascii="仿宋_GB2312" w:eastAsia="仿宋_GB2312"/>
          <w:szCs w:val="32"/>
        </w:rPr>
      </w:pPr>
      <w:r>
        <w:rPr>
          <w:rFonts w:hint="eastAsia" w:ascii="仿宋_GB2312" w:eastAsia="仿宋_GB2312"/>
          <w:szCs w:val="32"/>
        </w:rPr>
        <w:t>2021年度一般公共预算财政拨款支出</w:t>
      </w:r>
      <w:r>
        <w:rPr>
          <w:rFonts w:hint="eastAsia" w:ascii="仿宋_GB2312" w:eastAsia="仿宋_GB2312"/>
          <w:sz w:val="32"/>
          <w:szCs w:val="32"/>
          <w:lang w:val="en-US" w:eastAsia="zh-CN"/>
        </w:rPr>
        <w:t>2,510.08</w:t>
      </w:r>
      <w:r>
        <w:rPr>
          <w:rFonts w:hint="eastAsia" w:ascii="仿宋_GB2312" w:eastAsia="仿宋_GB2312"/>
          <w:szCs w:val="32"/>
        </w:rPr>
        <w:t>万元，占本年支出合计的</w:t>
      </w:r>
      <w:r>
        <w:rPr>
          <w:rFonts w:hint="eastAsia" w:ascii="仿宋_GB2312" w:eastAsia="仿宋_GB2312"/>
          <w:szCs w:val="32"/>
          <w:lang w:val="en-US" w:eastAsia="zh-CN"/>
        </w:rPr>
        <w:t>99</w:t>
      </w:r>
      <w:r>
        <w:rPr>
          <w:rFonts w:hint="eastAsia" w:ascii="仿宋_GB2312" w:eastAsia="仿宋_GB2312"/>
          <w:szCs w:val="32"/>
        </w:rPr>
        <w:t>%。与2020年度相比，一般公共预算财政拨款支出</w:t>
      </w:r>
      <w:r>
        <w:rPr>
          <w:rFonts w:hint="eastAsia" w:ascii="仿宋_GB2312" w:eastAsia="仿宋_GB2312"/>
          <w:szCs w:val="32"/>
          <w:lang w:val="en-US" w:eastAsia="zh-CN"/>
        </w:rPr>
        <w:t>增加</w:t>
      </w:r>
      <w:r>
        <w:rPr>
          <w:rFonts w:hint="eastAsia" w:ascii="仿宋_GB2312" w:eastAsia="仿宋_GB2312"/>
          <w:sz w:val="32"/>
          <w:szCs w:val="32"/>
          <w:lang w:val="en-US" w:eastAsia="zh-CN"/>
        </w:rPr>
        <w:t>589.53</w:t>
      </w:r>
      <w:r>
        <w:rPr>
          <w:rFonts w:hint="eastAsia" w:ascii="仿宋_GB2312" w:eastAsia="仿宋_GB2312"/>
          <w:szCs w:val="32"/>
        </w:rPr>
        <w:t>万元，增长</w:t>
      </w:r>
      <w:r>
        <w:rPr>
          <w:rFonts w:hint="eastAsia" w:ascii="仿宋_GB2312" w:eastAsia="仿宋_GB2312"/>
          <w:szCs w:val="32"/>
          <w:lang w:val="en-US" w:eastAsia="zh-CN"/>
        </w:rPr>
        <w:t>23.4</w:t>
      </w:r>
      <w:r>
        <w:rPr>
          <w:rFonts w:hint="eastAsia" w:ascii="仿宋_GB2312" w:eastAsia="仿宋_GB2312"/>
          <w:szCs w:val="32"/>
        </w:rPr>
        <w:t>%</w:t>
      </w:r>
      <w:r>
        <w:rPr>
          <w:rFonts w:hint="eastAsia" w:ascii="仿宋_GB2312" w:eastAsia="仿宋_GB2312"/>
          <w:szCs w:val="32"/>
          <w:lang w:val="en-US" w:eastAsia="zh-CN"/>
        </w:rPr>
        <w:t>,</w:t>
      </w:r>
      <w:r>
        <w:rPr>
          <w:rFonts w:hint="eastAsia" w:ascii="仿宋_GB2312" w:eastAsia="仿宋_GB2312"/>
          <w:szCs w:val="32"/>
        </w:rPr>
        <w:t>主要是增加</w:t>
      </w:r>
      <w:r>
        <w:rPr>
          <w:rFonts w:hint="eastAsia" w:ascii="仿宋_GB2312" w:eastAsia="仿宋_GB2312"/>
          <w:sz w:val="32"/>
          <w:szCs w:val="32"/>
          <w:lang w:val="en-US" w:eastAsia="zh-CN"/>
        </w:rPr>
        <w:t>教师工资支出。</w:t>
      </w:r>
    </w:p>
    <w:p>
      <w:pPr>
        <w:spacing w:line="580" w:lineRule="exact"/>
        <w:ind w:firstLine="640" w:firstLineChars="200"/>
        <w:rPr>
          <w:rFonts w:hint="eastAsia" w:ascii="楷体_GB2312" w:eastAsia="楷体_GB2312"/>
          <w:szCs w:val="32"/>
        </w:rPr>
      </w:pPr>
      <w:r>
        <w:rPr>
          <w:rFonts w:hint="eastAsia" w:ascii="楷体_GB2312" w:eastAsia="楷体_GB2312"/>
          <w:szCs w:val="32"/>
        </w:rPr>
        <w:t>（二）一般公共预算财政拨款支出决算结构情况</w:t>
      </w:r>
    </w:p>
    <w:p>
      <w:pPr>
        <w:spacing w:line="580" w:lineRule="exact"/>
        <w:ind w:firstLine="640" w:firstLineChars="200"/>
        <w:rPr>
          <w:rFonts w:hint="eastAsia" w:ascii="仿宋_GB2312" w:eastAsia="仿宋_GB2312"/>
          <w:szCs w:val="32"/>
        </w:rPr>
      </w:pPr>
      <w:r>
        <w:rPr>
          <w:rFonts w:hint="eastAsia" w:ascii="仿宋_GB2312" w:eastAsia="仿宋_GB2312"/>
          <w:szCs w:val="32"/>
        </w:rPr>
        <w:t>2021年度一般公共预算财政拨款支出</w:t>
      </w:r>
      <w:r>
        <w:rPr>
          <w:rFonts w:hint="eastAsia" w:ascii="仿宋_GB2312" w:eastAsia="仿宋_GB2312"/>
          <w:sz w:val="32"/>
          <w:szCs w:val="32"/>
          <w:lang w:val="en-US" w:eastAsia="zh-CN"/>
        </w:rPr>
        <w:t>2,510.08</w:t>
      </w:r>
      <w:r>
        <w:rPr>
          <w:rFonts w:hint="eastAsia" w:ascii="仿宋_GB2312" w:eastAsia="仿宋_GB2312"/>
          <w:szCs w:val="32"/>
        </w:rPr>
        <w:t>万元，占本年支出合计的</w:t>
      </w:r>
      <w:r>
        <w:rPr>
          <w:rFonts w:hint="eastAsia" w:ascii="仿宋_GB2312" w:eastAsia="仿宋_GB2312"/>
          <w:szCs w:val="32"/>
          <w:lang w:val="en-US" w:eastAsia="zh-CN"/>
        </w:rPr>
        <w:t>99</w:t>
      </w:r>
      <w:r>
        <w:rPr>
          <w:rFonts w:hint="eastAsia" w:ascii="仿宋_GB2312" w:eastAsia="仿宋_GB2312"/>
          <w:szCs w:val="32"/>
        </w:rPr>
        <w:t>%。与2020年度相比，一般公共预算财政拨款支出</w:t>
      </w:r>
      <w:r>
        <w:rPr>
          <w:rFonts w:hint="eastAsia" w:ascii="仿宋_GB2312" w:eastAsia="仿宋_GB2312"/>
          <w:szCs w:val="32"/>
          <w:lang w:val="en-US" w:eastAsia="zh-CN"/>
        </w:rPr>
        <w:t>增加</w:t>
      </w:r>
      <w:r>
        <w:rPr>
          <w:rFonts w:hint="eastAsia" w:ascii="仿宋_GB2312" w:eastAsia="仿宋_GB2312"/>
          <w:sz w:val="32"/>
          <w:szCs w:val="32"/>
          <w:lang w:val="en-US" w:eastAsia="zh-CN"/>
        </w:rPr>
        <w:t>589.53</w:t>
      </w:r>
      <w:r>
        <w:rPr>
          <w:rFonts w:hint="eastAsia" w:ascii="仿宋_GB2312" w:eastAsia="仿宋_GB2312"/>
          <w:szCs w:val="32"/>
        </w:rPr>
        <w:t>万元，增长</w:t>
      </w:r>
      <w:r>
        <w:rPr>
          <w:rFonts w:hint="eastAsia" w:ascii="仿宋_GB2312" w:eastAsia="仿宋_GB2312"/>
          <w:szCs w:val="32"/>
          <w:lang w:val="en-US" w:eastAsia="zh-CN"/>
        </w:rPr>
        <w:t>23.4</w:t>
      </w:r>
      <w:r>
        <w:rPr>
          <w:rFonts w:hint="eastAsia" w:ascii="仿宋_GB2312" w:eastAsia="仿宋_GB2312"/>
          <w:szCs w:val="32"/>
        </w:rPr>
        <w:t>%</w:t>
      </w:r>
      <w:r>
        <w:rPr>
          <w:rFonts w:hint="eastAsia" w:ascii="仿宋_GB2312" w:eastAsia="仿宋_GB2312"/>
          <w:szCs w:val="32"/>
          <w:lang w:val="en-US" w:eastAsia="zh-CN"/>
        </w:rPr>
        <w:t>,</w:t>
      </w:r>
      <w:r>
        <w:rPr>
          <w:rFonts w:hint="eastAsia" w:ascii="仿宋_GB2312" w:eastAsia="仿宋_GB2312"/>
          <w:szCs w:val="32"/>
        </w:rPr>
        <w:t>主要是增加</w:t>
      </w:r>
      <w:r>
        <w:rPr>
          <w:rFonts w:hint="eastAsia" w:ascii="仿宋_GB2312" w:eastAsia="仿宋_GB2312"/>
          <w:sz w:val="32"/>
          <w:szCs w:val="32"/>
          <w:lang w:val="en-US" w:eastAsia="zh-CN"/>
        </w:rPr>
        <w:t>教师工资支出。</w:t>
      </w:r>
    </w:p>
    <w:p>
      <w:pPr>
        <w:spacing w:line="580" w:lineRule="exact"/>
        <w:ind w:firstLine="640" w:firstLineChars="200"/>
        <w:rPr>
          <w:rFonts w:hint="eastAsia" w:ascii="楷体_GB2312" w:eastAsia="楷体_GB2312"/>
          <w:szCs w:val="32"/>
        </w:rPr>
      </w:pPr>
      <w:r>
        <w:rPr>
          <w:rFonts w:hint="eastAsia" w:ascii="楷体_GB2312" w:eastAsia="楷体_GB2312"/>
          <w:szCs w:val="32"/>
        </w:rPr>
        <w:t>（三）一般公共预算财政拨款支出决算具体情况</w:t>
      </w:r>
    </w:p>
    <w:p>
      <w:pPr>
        <w:spacing w:line="580" w:lineRule="exact"/>
        <w:ind w:firstLine="640" w:firstLineChars="200"/>
        <w:rPr>
          <w:rFonts w:hint="eastAsia" w:ascii="仿宋_GB2312" w:eastAsia="仿宋_GB2312"/>
          <w:szCs w:val="32"/>
        </w:rPr>
      </w:pPr>
      <w:r>
        <w:rPr>
          <w:rFonts w:hint="eastAsia" w:ascii="仿宋_GB2312" w:eastAsia="仿宋_GB2312"/>
          <w:szCs w:val="32"/>
        </w:rPr>
        <w:t>2021年度一般公共预算财政拨款支出年初预算为</w:t>
      </w:r>
      <w:r>
        <w:rPr>
          <w:rFonts w:hint="eastAsia" w:ascii="仿宋_GB2312" w:eastAsia="仿宋_GB2312"/>
          <w:sz w:val="32"/>
          <w:szCs w:val="32"/>
          <w:lang w:val="en-US" w:eastAsia="zh-CN"/>
        </w:rPr>
        <w:t>2,510.08</w:t>
      </w:r>
      <w:r>
        <w:rPr>
          <w:rFonts w:hint="eastAsia" w:ascii="仿宋_GB2312" w:eastAsia="仿宋_GB2312"/>
          <w:szCs w:val="32"/>
        </w:rPr>
        <w:t>万元，支出决算为</w:t>
      </w:r>
      <w:r>
        <w:rPr>
          <w:rFonts w:hint="eastAsia" w:ascii="仿宋_GB2312" w:eastAsia="仿宋_GB2312"/>
          <w:sz w:val="32"/>
          <w:szCs w:val="32"/>
          <w:lang w:val="en-US" w:eastAsia="zh-CN"/>
        </w:rPr>
        <w:t>2,510.08</w:t>
      </w:r>
      <w:r>
        <w:rPr>
          <w:rFonts w:hint="eastAsia" w:ascii="仿宋_GB2312" w:eastAsia="仿宋_GB2312"/>
          <w:szCs w:val="32"/>
        </w:rPr>
        <w:t>万元，完成年初预算的</w:t>
      </w:r>
      <w:r>
        <w:rPr>
          <w:rFonts w:hint="eastAsia" w:ascii="仿宋_GB2312" w:eastAsia="仿宋_GB2312"/>
          <w:szCs w:val="32"/>
          <w:lang w:val="en-US" w:eastAsia="zh-CN"/>
        </w:rPr>
        <w:t>100</w:t>
      </w:r>
      <w:r>
        <w:rPr>
          <w:rFonts w:hint="eastAsia" w:ascii="仿宋_GB2312" w:eastAsia="仿宋_GB2312"/>
          <w:szCs w:val="32"/>
        </w:rPr>
        <w:t>%。决算数与年初预算基本持平年</w:t>
      </w:r>
      <w:r>
        <w:rPr>
          <w:rFonts w:hint="eastAsia" w:ascii="仿宋_GB2312" w:eastAsia="仿宋_GB2312"/>
          <w:szCs w:val="32"/>
          <w:lang w:eastAsia="zh-CN"/>
        </w:rPr>
        <w:t>。</w:t>
      </w:r>
      <w:r>
        <w:rPr>
          <w:rFonts w:hint="eastAsia" w:ascii="仿宋_GB2312" w:eastAsia="仿宋_GB2312"/>
          <w:szCs w:val="32"/>
        </w:rPr>
        <w:t>其中：</w:t>
      </w:r>
    </w:p>
    <w:p>
      <w:pPr>
        <w:spacing w:line="580" w:lineRule="exact"/>
        <w:ind w:firstLine="640" w:firstLineChars="200"/>
        <w:rPr>
          <w:rFonts w:hint="eastAsia" w:ascii="仿宋_GB2312" w:eastAsia="仿宋_GB2312"/>
          <w:szCs w:val="32"/>
        </w:rPr>
      </w:pPr>
      <w:r>
        <w:rPr>
          <w:rFonts w:hint="eastAsia" w:ascii="仿宋_GB2312" w:eastAsia="仿宋_GB2312"/>
          <w:szCs w:val="32"/>
        </w:rPr>
        <w:t xml:space="preserve">1.一般公共服务支出（类）财政事务（款）行政运行（项）。年初预算为 </w:t>
      </w:r>
      <w:r>
        <w:rPr>
          <w:rFonts w:hint="eastAsia" w:ascii="仿宋_GB2312" w:eastAsia="仿宋_GB2312"/>
          <w:szCs w:val="32"/>
          <w:lang w:val="en-US" w:eastAsia="zh-CN"/>
        </w:rPr>
        <w:t>538.19</w:t>
      </w:r>
      <w:r>
        <w:rPr>
          <w:rFonts w:hint="eastAsia" w:ascii="仿宋_GB2312" w:eastAsia="仿宋_GB2312"/>
          <w:szCs w:val="32"/>
        </w:rPr>
        <w:t>万元，支出决算为</w:t>
      </w:r>
      <w:r>
        <w:rPr>
          <w:rFonts w:hint="eastAsia" w:ascii="仿宋_GB2312" w:eastAsia="仿宋_GB2312"/>
          <w:szCs w:val="32"/>
          <w:lang w:val="en-US" w:eastAsia="zh-CN"/>
        </w:rPr>
        <w:t>538.19</w:t>
      </w:r>
      <w:r>
        <w:rPr>
          <w:rFonts w:hint="eastAsia" w:ascii="仿宋_GB2312" w:eastAsia="仿宋_GB2312"/>
          <w:szCs w:val="32"/>
        </w:rPr>
        <w:t>万元，完成年初预算的</w:t>
      </w:r>
      <w:r>
        <w:rPr>
          <w:rFonts w:hint="eastAsia" w:ascii="仿宋_GB2312" w:eastAsia="仿宋_GB2312"/>
          <w:szCs w:val="32"/>
          <w:lang w:val="en-US" w:eastAsia="zh-CN"/>
        </w:rPr>
        <w:t>100</w:t>
      </w:r>
      <w:r>
        <w:rPr>
          <w:rFonts w:hint="eastAsia" w:ascii="仿宋_GB2312" w:eastAsia="仿宋_GB2312"/>
          <w:szCs w:val="32"/>
        </w:rPr>
        <w:t>%。与年初预算基本持平。</w:t>
      </w:r>
    </w:p>
    <w:p>
      <w:pPr>
        <w:spacing w:line="580" w:lineRule="exact"/>
        <w:ind w:firstLine="640" w:firstLineChars="200"/>
        <w:rPr>
          <w:rFonts w:hint="eastAsia" w:ascii="仿宋_GB2312" w:eastAsia="仿宋_GB2312"/>
          <w:szCs w:val="32"/>
        </w:rPr>
      </w:pPr>
      <w:r>
        <w:rPr>
          <w:rFonts w:hint="eastAsia" w:ascii="仿宋_GB2312" w:eastAsia="仿宋_GB2312"/>
          <w:szCs w:val="32"/>
        </w:rPr>
        <w:t>2.社会保障和就业支出（类）行政事业单位离退休（款）归口管理的行政单位离退休（项）。年初预算为</w:t>
      </w:r>
      <w:r>
        <w:rPr>
          <w:rFonts w:hint="eastAsia" w:ascii="仿宋_GB2312" w:eastAsia="仿宋_GB2312"/>
          <w:szCs w:val="32"/>
          <w:lang w:val="en-US" w:eastAsia="zh-CN"/>
        </w:rPr>
        <w:t>222.6</w:t>
      </w:r>
      <w:r>
        <w:rPr>
          <w:rFonts w:hint="eastAsia" w:ascii="仿宋_GB2312" w:eastAsia="仿宋_GB2312"/>
          <w:szCs w:val="32"/>
        </w:rPr>
        <w:t>万元，支出决算为</w:t>
      </w:r>
      <w:r>
        <w:rPr>
          <w:rFonts w:hint="eastAsia" w:ascii="仿宋_GB2312" w:eastAsia="仿宋_GB2312"/>
          <w:szCs w:val="32"/>
          <w:lang w:val="en-US" w:eastAsia="zh-CN"/>
        </w:rPr>
        <w:t>222.6</w:t>
      </w:r>
      <w:r>
        <w:rPr>
          <w:rFonts w:hint="eastAsia" w:ascii="仿宋_GB2312" w:eastAsia="仿宋_GB2312"/>
          <w:szCs w:val="32"/>
        </w:rPr>
        <w:t>万元，完成年初预算的</w:t>
      </w:r>
      <w:r>
        <w:rPr>
          <w:rFonts w:hint="eastAsia" w:ascii="仿宋_GB2312" w:eastAsia="仿宋_GB2312"/>
          <w:szCs w:val="32"/>
          <w:lang w:val="en-US" w:eastAsia="zh-CN"/>
        </w:rPr>
        <w:t>100</w:t>
      </w:r>
      <w:r>
        <w:rPr>
          <w:rFonts w:hint="eastAsia" w:ascii="仿宋_GB2312" w:eastAsia="仿宋_GB2312"/>
          <w:szCs w:val="32"/>
        </w:rPr>
        <w:t>%。与年初预算基本持平。</w:t>
      </w:r>
    </w:p>
    <w:p>
      <w:pPr>
        <w:spacing w:line="580" w:lineRule="exact"/>
        <w:ind w:firstLine="640" w:firstLineChars="200"/>
        <w:rPr>
          <w:rFonts w:hint="eastAsia" w:ascii="仿宋_GB2312" w:eastAsia="仿宋_GB2312"/>
          <w:szCs w:val="32"/>
        </w:rPr>
      </w:pPr>
      <w:r>
        <w:rPr>
          <w:rFonts w:hint="eastAsia" w:ascii="仿宋_GB2312" w:eastAsia="仿宋_GB2312"/>
          <w:szCs w:val="32"/>
          <w:lang w:val="en-US" w:eastAsia="zh-CN"/>
        </w:rPr>
        <w:t>3</w:t>
      </w:r>
      <w:r>
        <w:rPr>
          <w:rFonts w:hint="eastAsia" w:ascii="仿宋_GB2312" w:eastAsia="仿宋_GB2312"/>
          <w:szCs w:val="32"/>
        </w:rPr>
        <w:t>.教育支出。年初预算为</w:t>
      </w:r>
      <w:r>
        <w:rPr>
          <w:rFonts w:hint="eastAsia" w:ascii="仿宋_GB2312" w:eastAsia="仿宋_GB2312"/>
          <w:szCs w:val="32"/>
          <w:lang w:val="en-US" w:eastAsia="zh-CN"/>
        </w:rPr>
        <w:t>1615</w:t>
      </w:r>
      <w:r>
        <w:rPr>
          <w:rFonts w:hint="eastAsia" w:ascii="仿宋_GB2312" w:eastAsia="仿宋_GB2312"/>
          <w:szCs w:val="32"/>
        </w:rPr>
        <w:t>万元，支出决算为</w:t>
      </w:r>
      <w:r>
        <w:rPr>
          <w:rFonts w:hint="eastAsia" w:ascii="仿宋_GB2312" w:eastAsia="仿宋_GB2312"/>
          <w:szCs w:val="32"/>
          <w:lang w:val="en-US" w:eastAsia="zh-CN"/>
        </w:rPr>
        <w:t>1615</w:t>
      </w:r>
      <w:r>
        <w:rPr>
          <w:rFonts w:hint="eastAsia" w:ascii="仿宋_GB2312" w:eastAsia="仿宋_GB2312"/>
          <w:szCs w:val="32"/>
        </w:rPr>
        <w:t>万元，完成年初预算的</w:t>
      </w:r>
      <w:r>
        <w:rPr>
          <w:rFonts w:hint="eastAsia" w:ascii="仿宋_GB2312" w:eastAsia="仿宋_GB2312"/>
          <w:szCs w:val="32"/>
          <w:lang w:val="en-US" w:eastAsia="zh-CN"/>
        </w:rPr>
        <w:t>100</w:t>
      </w:r>
      <w:r>
        <w:rPr>
          <w:rFonts w:hint="eastAsia" w:ascii="仿宋_GB2312" w:eastAsia="仿宋_GB2312"/>
          <w:szCs w:val="32"/>
        </w:rPr>
        <w:t>%。与年初预算基本持平。</w:t>
      </w:r>
    </w:p>
    <w:p>
      <w:pPr>
        <w:spacing w:line="580" w:lineRule="exact"/>
        <w:ind w:firstLine="640" w:firstLineChars="200"/>
        <w:rPr>
          <w:rFonts w:hint="eastAsia" w:ascii="仿宋_GB2312" w:eastAsia="仿宋_GB2312"/>
          <w:szCs w:val="32"/>
        </w:rPr>
      </w:pPr>
      <w:r>
        <w:rPr>
          <w:rFonts w:hint="eastAsia" w:ascii="仿宋_GB2312" w:eastAsia="仿宋_GB2312"/>
          <w:szCs w:val="32"/>
          <w:lang w:val="en-US" w:eastAsia="zh-CN"/>
        </w:rPr>
        <w:t>4</w:t>
      </w:r>
      <w:r>
        <w:rPr>
          <w:rFonts w:hint="eastAsia" w:ascii="仿宋_GB2312" w:eastAsia="仿宋_GB2312"/>
          <w:szCs w:val="32"/>
        </w:rPr>
        <w:t>.住房保障支出。年初预算为</w:t>
      </w:r>
      <w:r>
        <w:rPr>
          <w:rFonts w:hint="eastAsia" w:ascii="仿宋_GB2312" w:eastAsia="仿宋_GB2312"/>
          <w:szCs w:val="32"/>
          <w:lang w:val="en-US" w:eastAsia="zh-CN"/>
        </w:rPr>
        <w:t>138.87</w:t>
      </w:r>
      <w:r>
        <w:rPr>
          <w:rFonts w:hint="eastAsia" w:ascii="仿宋_GB2312" w:eastAsia="仿宋_GB2312"/>
          <w:szCs w:val="32"/>
        </w:rPr>
        <w:t>万元，支出决算为</w:t>
      </w:r>
      <w:r>
        <w:rPr>
          <w:rFonts w:hint="eastAsia" w:ascii="仿宋_GB2312" w:eastAsia="仿宋_GB2312"/>
          <w:szCs w:val="32"/>
          <w:lang w:val="en-US" w:eastAsia="zh-CN"/>
        </w:rPr>
        <w:t>138.87</w:t>
      </w:r>
      <w:r>
        <w:rPr>
          <w:rFonts w:hint="eastAsia" w:ascii="仿宋_GB2312" w:eastAsia="仿宋_GB2312"/>
          <w:szCs w:val="32"/>
        </w:rPr>
        <w:t>万元，完成年初预算的</w:t>
      </w:r>
      <w:r>
        <w:rPr>
          <w:rFonts w:hint="eastAsia" w:ascii="仿宋_GB2312" w:eastAsia="仿宋_GB2312"/>
          <w:szCs w:val="32"/>
          <w:lang w:val="en-US" w:eastAsia="zh-CN"/>
        </w:rPr>
        <w:t>100</w:t>
      </w:r>
      <w:r>
        <w:rPr>
          <w:rFonts w:hint="eastAsia" w:ascii="仿宋_GB2312" w:eastAsia="仿宋_GB2312"/>
          <w:szCs w:val="32"/>
        </w:rPr>
        <w:t>%。与年初预算基本持平。</w:t>
      </w:r>
    </w:p>
    <w:p>
      <w:pPr>
        <w:spacing w:line="580" w:lineRule="exact"/>
        <w:ind w:firstLine="643" w:firstLineChars="200"/>
        <w:rPr>
          <w:rFonts w:hint="eastAsia" w:ascii="仿宋_GB2312" w:eastAsia="仿宋_GB2312"/>
          <w:b/>
          <w:szCs w:val="32"/>
        </w:rPr>
      </w:pPr>
    </w:p>
    <w:p>
      <w:pPr>
        <w:spacing w:line="580" w:lineRule="exact"/>
        <w:ind w:firstLine="640" w:firstLineChars="200"/>
        <w:rPr>
          <w:rFonts w:hint="eastAsia" w:ascii="黑体" w:hAnsi="黑体" w:eastAsia="黑体"/>
          <w:szCs w:val="32"/>
        </w:rPr>
      </w:pPr>
    </w:p>
    <w:p>
      <w:pPr>
        <w:spacing w:line="580" w:lineRule="exact"/>
        <w:ind w:firstLine="640" w:firstLineChars="200"/>
        <w:rPr>
          <w:rFonts w:hint="eastAsia" w:ascii="黑体" w:hAnsi="黑体" w:eastAsia="黑体"/>
          <w:szCs w:val="32"/>
        </w:rPr>
      </w:pPr>
    </w:p>
    <w:p>
      <w:pPr>
        <w:spacing w:line="580" w:lineRule="exact"/>
        <w:ind w:firstLine="640" w:firstLineChars="200"/>
        <w:rPr>
          <w:rFonts w:hint="eastAsia" w:ascii="黑体" w:hAnsi="黑体" w:eastAsia="黑体"/>
          <w:szCs w:val="32"/>
        </w:rPr>
      </w:pPr>
      <w:r>
        <w:rPr>
          <w:rFonts w:hint="eastAsia" w:ascii="黑体" w:hAnsi="黑体" w:eastAsia="黑体"/>
          <w:szCs w:val="32"/>
        </w:rPr>
        <w:t>六、一般公共预算财政拨款基本支出决算情况</w:t>
      </w:r>
    </w:p>
    <w:p>
      <w:pPr>
        <w:spacing w:line="580" w:lineRule="exact"/>
        <w:ind w:firstLine="640" w:firstLineChars="200"/>
        <w:rPr>
          <w:rFonts w:hint="eastAsia" w:ascii="仿宋_GB2312" w:eastAsia="仿宋_GB2312"/>
          <w:szCs w:val="32"/>
        </w:rPr>
      </w:pPr>
      <w:r>
        <w:rPr>
          <w:rFonts w:hint="eastAsia" w:ascii="仿宋_GB2312" w:eastAsia="仿宋_GB2312"/>
          <w:szCs w:val="32"/>
        </w:rPr>
        <w:t>2021年度一般公共预算财政拨款基本支出决算</w:t>
      </w:r>
      <w:r>
        <w:rPr>
          <w:rFonts w:hint="eastAsia" w:ascii="仿宋_GB2312" w:eastAsia="仿宋_GB2312"/>
          <w:sz w:val="32"/>
          <w:szCs w:val="32"/>
          <w:lang w:val="en-US" w:eastAsia="zh-CN"/>
        </w:rPr>
        <w:t>2,510.08</w:t>
      </w:r>
      <w:r>
        <w:rPr>
          <w:rFonts w:hint="eastAsia" w:ascii="仿宋_GB2312" w:eastAsia="仿宋_GB2312"/>
          <w:szCs w:val="32"/>
        </w:rPr>
        <w:t>万元，包括人员经费和公用经费，支出具体情况如下：</w:t>
      </w:r>
    </w:p>
    <w:p>
      <w:pPr>
        <w:spacing w:line="580" w:lineRule="exact"/>
        <w:ind w:firstLine="640" w:firstLineChars="200"/>
        <w:rPr>
          <w:rFonts w:hint="eastAsia" w:ascii="仿宋_GB2312" w:eastAsia="仿宋_GB2312"/>
          <w:b/>
          <w:szCs w:val="32"/>
        </w:rPr>
      </w:pPr>
      <w:r>
        <w:rPr>
          <w:rFonts w:hint="eastAsia" w:ascii="仿宋_GB2312" w:eastAsia="仿宋_GB2312"/>
          <w:szCs w:val="32"/>
        </w:rPr>
        <w:t>人员经费2296.4万元，主要包括：基本工资、津贴补贴、奖金等。</w:t>
      </w:r>
    </w:p>
    <w:p>
      <w:pPr>
        <w:spacing w:line="580" w:lineRule="exact"/>
        <w:ind w:firstLine="640" w:firstLineChars="200"/>
        <w:rPr>
          <w:rFonts w:hint="eastAsia" w:ascii="仿宋_GB2312" w:eastAsia="仿宋_GB2312"/>
          <w:b/>
          <w:szCs w:val="32"/>
          <w:lang w:val="en-US" w:eastAsia="zh-CN"/>
        </w:rPr>
      </w:pPr>
      <w:r>
        <w:rPr>
          <w:rFonts w:hint="eastAsia" w:ascii="仿宋_GB2312" w:eastAsia="仿宋_GB2312"/>
          <w:szCs w:val="32"/>
        </w:rPr>
        <w:t>公用经费</w:t>
      </w:r>
      <w:r>
        <w:rPr>
          <w:rFonts w:hint="eastAsia" w:ascii="仿宋_GB2312" w:eastAsia="仿宋_GB2312"/>
          <w:szCs w:val="32"/>
          <w:lang w:val="en-US" w:eastAsia="zh-CN"/>
        </w:rPr>
        <w:t>213.68</w:t>
      </w:r>
      <w:r>
        <w:rPr>
          <w:rFonts w:hint="eastAsia" w:ascii="仿宋_GB2312" w:eastAsia="仿宋_GB2312"/>
          <w:szCs w:val="32"/>
        </w:rPr>
        <w:t>万元，主要包括：办公费、印刷费、咨询费</w:t>
      </w:r>
      <w:r>
        <w:rPr>
          <w:rFonts w:hint="eastAsia" w:ascii="仿宋_GB2312" w:eastAsia="仿宋_GB2312"/>
          <w:szCs w:val="32"/>
          <w:lang w:val="en-US" w:eastAsia="zh-CN"/>
        </w:rPr>
        <w:t>等。</w:t>
      </w:r>
    </w:p>
    <w:p>
      <w:pPr>
        <w:spacing w:line="580" w:lineRule="exact"/>
        <w:ind w:firstLine="640" w:firstLineChars="200"/>
        <w:rPr>
          <w:rFonts w:hint="eastAsia" w:ascii="黑体" w:hAnsi="黑体" w:eastAsia="黑体"/>
          <w:szCs w:val="32"/>
        </w:rPr>
      </w:pPr>
      <w:r>
        <w:rPr>
          <w:rFonts w:hint="eastAsia" w:ascii="黑体" w:hAnsi="黑体" w:eastAsia="黑体"/>
          <w:szCs w:val="32"/>
        </w:rPr>
        <w:t>七、一般公共预算财政拨款“三公”经费支出决算情况</w:t>
      </w:r>
    </w:p>
    <w:p>
      <w:pPr>
        <w:spacing w:line="580" w:lineRule="exact"/>
        <w:ind w:firstLine="640" w:firstLineChars="200"/>
        <w:rPr>
          <w:rFonts w:hint="eastAsia" w:ascii="楷体_GB2312" w:eastAsia="楷体_GB2312"/>
          <w:szCs w:val="32"/>
        </w:rPr>
      </w:pPr>
      <w:r>
        <w:rPr>
          <w:rFonts w:hint="eastAsia" w:ascii="楷体_GB2312" w:eastAsia="楷体_GB2312"/>
          <w:szCs w:val="32"/>
        </w:rPr>
        <w:t>（一）“三公”经费支出决算总体情况</w:t>
      </w:r>
    </w:p>
    <w:p>
      <w:pPr>
        <w:spacing w:line="580" w:lineRule="exact"/>
        <w:ind w:firstLine="640" w:firstLineChars="200"/>
        <w:rPr>
          <w:rFonts w:hint="eastAsia" w:ascii="仿宋_GB2312" w:eastAsia="仿宋_GB2312"/>
          <w:szCs w:val="32"/>
          <w:lang w:eastAsia="zh-CN"/>
        </w:rPr>
      </w:pPr>
      <w:r>
        <w:rPr>
          <w:rFonts w:hint="eastAsia" w:ascii="仿宋_GB2312" w:eastAsia="仿宋_GB2312"/>
          <w:szCs w:val="32"/>
        </w:rPr>
        <w:t>2021年度一般公共预算财政拨款“三公”经费支出年初预算为</w:t>
      </w:r>
      <w:r>
        <w:rPr>
          <w:rFonts w:hint="eastAsia" w:ascii="仿宋_GB2312" w:eastAsia="仿宋_GB2312"/>
          <w:szCs w:val="32"/>
          <w:lang w:val="en-US" w:eastAsia="zh-CN"/>
        </w:rPr>
        <w:t>0.9</w:t>
      </w:r>
      <w:r>
        <w:rPr>
          <w:rFonts w:hint="eastAsia" w:ascii="仿宋_GB2312" w:eastAsia="仿宋_GB2312"/>
          <w:szCs w:val="32"/>
        </w:rPr>
        <w:t>万元，支出决算为</w:t>
      </w:r>
      <w:r>
        <w:rPr>
          <w:rFonts w:hint="eastAsia" w:ascii="仿宋_GB2312" w:eastAsia="仿宋_GB2312"/>
          <w:szCs w:val="32"/>
          <w:lang w:val="en-US" w:eastAsia="zh-CN"/>
        </w:rPr>
        <w:t>0.9</w:t>
      </w:r>
      <w:r>
        <w:rPr>
          <w:rFonts w:hint="eastAsia" w:ascii="仿宋_GB2312" w:eastAsia="仿宋_GB2312"/>
          <w:szCs w:val="32"/>
        </w:rPr>
        <w:t>万元，与2021年预算基本持平，完成年初预算的</w:t>
      </w:r>
      <w:r>
        <w:rPr>
          <w:rFonts w:hint="eastAsia" w:ascii="仿宋_GB2312" w:eastAsia="仿宋_GB2312"/>
          <w:szCs w:val="32"/>
          <w:lang w:val="en-US" w:eastAsia="zh-CN"/>
        </w:rPr>
        <w:t>100</w:t>
      </w:r>
      <w:r>
        <w:rPr>
          <w:rFonts w:hint="eastAsia" w:ascii="仿宋_GB2312" w:eastAsia="仿宋_GB2312"/>
          <w:szCs w:val="32"/>
        </w:rPr>
        <w:t>%</w:t>
      </w:r>
      <w:r>
        <w:rPr>
          <w:rFonts w:hint="eastAsia" w:ascii="仿宋_GB2312" w:eastAsia="仿宋_GB2312"/>
          <w:szCs w:val="32"/>
          <w:lang w:eastAsia="zh-CN"/>
        </w:rPr>
        <w:t>。</w:t>
      </w:r>
    </w:p>
    <w:p>
      <w:pPr>
        <w:spacing w:line="580" w:lineRule="exact"/>
        <w:ind w:firstLine="640" w:firstLineChars="200"/>
        <w:rPr>
          <w:rFonts w:hint="eastAsia" w:ascii="楷体_GB2312" w:eastAsia="楷体_GB2312"/>
          <w:szCs w:val="32"/>
        </w:rPr>
      </w:pPr>
      <w:r>
        <w:rPr>
          <w:rFonts w:hint="eastAsia" w:ascii="楷体_GB2312" w:eastAsia="楷体_GB2312"/>
          <w:szCs w:val="32"/>
        </w:rPr>
        <w:t>（二）“三公”经费支出决算具体情况</w:t>
      </w:r>
    </w:p>
    <w:p>
      <w:pPr>
        <w:spacing w:line="580" w:lineRule="exact"/>
        <w:ind w:firstLine="640" w:firstLineChars="200"/>
        <w:rPr>
          <w:rFonts w:hint="eastAsia" w:ascii="仿宋_GB2312" w:eastAsia="仿宋_GB2312"/>
          <w:b/>
          <w:szCs w:val="32"/>
          <w:lang w:eastAsia="zh-CN"/>
        </w:rPr>
      </w:pPr>
      <w:r>
        <w:rPr>
          <w:rFonts w:hint="eastAsia" w:ascii="仿宋_GB2312" w:eastAsia="仿宋_GB2312"/>
          <w:szCs w:val="32"/>
        </w:rPr>
        <w:t>1.因公出国（境）费年初预算为</w:t>
      </w:r>
      <w:r>
        <w:rPr>
          <w:rFonts w:hint="eastAsia" w:ascii="仿宋_GB2312" w:eastAsia="仿宋_GB2312"/>
          <w:szCs w:val="32"/>
          <w:lang w:val="en-US" w:eastAsia="zh-CN"/>
        </w:rPr>
        <w:t>0</w:t>
      </w:r>
      <w:r>
        <w:rPr>
          <w:rFonts w:hint="eastAsia" w:ascii="仿宋_GB2312" w:eastAsia="仿宋_GB2312"/>
          <w:szCs w:val="32"/>
        </w:rPr>
        <w:t>万元，支出决算为</w:t>
      </w:r>
      <w:r>
        <w:rPr>
          <w:rFonts w:hint="eastAsia" w:ascii="仿宋_GB2312" w:eastAsia="仿宋_GB2312"/>
          <w:szCs w:val="32"/>
          <w:lang w:val="en-US" w:eastAsia="zh-CN"/>
        </w:rPr>
        <w:t>0</w:t>
      </w:r>
      <w:r>
        <w:rPr>
          <w:rFonts w:hint="eastAsia" w:ascii="仿宋_GB2312" w:eastAsia="仿宋_GB2312"/>
          <w:szCs w:val="32"/>
        </w:rPr>
        <w:t>万元，与2021年预算基本持平，完成年初预算的</w:t>
      </w:r>
      <w:r>
        <w:rPr>
          <w:rFonts w:hint="eastAsia" w:ascii="仿宋_GB2312" w:eastAsia="仿宋_GB2312"/>
          <w:szCs w:val="32"/>
          <w:lang w:val="en-US" w:eastAsia="zh-CN"/>
        </w:rPr>
        <w:t>100</w:t>
      </w:r>
      <w:r>
        <w:rPr>
          <w:rFonts w:hint="eastAsia" w:ascii="仿宋_GB2312" w:eastAsia="仿宋_GB2312"/>
          <w:szCs w:val="32"/>
        </w:rPr>
        <w:t>%</w:t>
      </w:r>
      <w:r>
        <w:rPr>
          <w:rFonts w:hint="eastAsia" w:ascii="仿宋_GB2312" w:eastAsia="仿宋_GB2312"/>
          <w:szCs w:val="32"/>
          <w:lang w:eastAsia="zh-CN"/>
        </w:rPr>
        <w:t>。</w:t>
      </w:r>
    </w:p>
    <w:p>
      <w:pPr>
        <w:spacing w:line="580" w:lineRule="exact"/>
        <w:ind w:firstLine="640" w:firstLineChars="200"/>
        <w:rPr>
          <w:rFonts w:hint="eastAsia" w:ascii="仿宋_GB2312" w:eastAsia="仿宋_GB2312"/>
          <w:b/>
          <w:szCs w:val="32"/>
          <w:lang w:eastAsia="zh-CN"/>
        </w:rPr>
      </w:pPr>
      <w:r>
        <w:rPr>
          <w:rFonts w:hint="eastAsia" w:ascii="仿宋_GB2312" w:eastAsia="仿宋_GB2312"/>
          <w:szCs w:val="32"/>
        </w:rPr>
        <w:t>全年支出涉及因公出国（境）团组</w:t>
      </w:r>
      <w:r>
        <w:rPr>
          <w:rFonts w:hint="eastAsia" w:ascii="仿宋_GB2312" w:eastAsia="仿宋_GB2312"/>
          <w:szCs w:val="32"/>
          <w:lang w:val="en-US" w:eastAsia="zh-CN"/>
        </w:rPr>
        <w:t>0</w:t>
      </w:r>
      <w:r>
        <w:rPr>
          <w:rFonts w:hint="eastAsia" w:ascii="仿宋_GB2312" w:eastAsia="仿宋_GB2312"/>
          <w:szCs w:val="32"/>
        </w:rPr>
        <w:t>个,累计</w:t>
      </w:r>
      <w:r>
        <w:rPr>
          <w:rFonts w:hint="eastAsia" w:ascii="仿宋_GB2312" w:eastAsia="仿宋_GB2312"/>
          <w:szCs w:val="32"/>
          <w:lang w:val="en-US" w:eastAsia="zh-CN"/>
        </w:rPr>
        <w:t>0</w:t>
      </w:r>
      <w:r>
        <w:rPr>
          <w:rFonts w:hint="eastAsia" w:ascii="仿宋_GB2312" w:eastAsia="仿宋_GB2312"/>
          <w:szCs w:val="32"/>
        </w:rPr>
        <w:t>人次。开支内容包括</w:t>
      </w:r>
      <w:r>
        <w:rPr>
          <w:rFonts w:hint="eastAsia" w:ascii="仿宋_GB2312" w:eastAsia="仿宋_GB2312"/>
          <w:szCs w:val="32"/>
          <w:lang w:eastAsia="zh-CN"/>
        </w:rPr>
        <w:t>。</w:t>
      </w:r>
    </w:p>
    <w:p>
      <w:pPr>
        <w:spacing w:line="580" w:lineRule="exact"/>
        <w:ind w:firstLine="640" w:firstLineChars="200"/>
        <w:rPr>
          <w:rFonts w:hint="eastAsia" w:ascii="仿宋_GB2312" w:eastAsia="仿宋_GB2312"/>
          <w:b/>
          <w:szCs w:val="32"/>
          <w:lang w:eastAsia="zh-CN"/>
        </w:rPr>
      </w:pPr>
      <w:r>
        <w:rPr>
          <w:rFonts w:hint="eastAsia" w:ascii="仿宋_GB2312" w:eastAsia="仿宋_GB2312"/>
          <w:szCs w:val="32"/>
        </w:rPr>
        <w:t>2.公务用车购置及运行维护费年初预算为</w:t>
      </w:r>
      <w:r>
        <w:rPr>
          <w:rFonts w:hint="eastAsia" w:ascii="仿宋_GB2312" w:eastAsia="仿宋_GB2312"/>
          <w:szCs w:val="32"/>
          <w:lang w:val="en-US" w:eastAsia="zh-CN"/>
        </w:rPr>
        <w:t>0.9</w:t>
      </w:r>
      <w:r>
        <w:rPr>
          <w:rFonts w:hint="eastAsia" w:ascii="仿宋_GB2312" w:eastAsia="仿宋_GB2312"/>
          <w:szCs w:val="32"/>
        </w:rPr>
        <w:t>万元，支出决算为</w:t>
      </w:r>
      <w:r>
        <w:rPr>
          <w:rFonts w:hint="eastAsia" w:ascii="仿宋_GB2312" w:eastAsia="仿宋_GB2312"/>
          <w:szCs w:val="32"/>
          <w:lang w:val="en-US" w:eastAsia="zh-CN"/>
        </w:rPr>
        <w:t>0.9</w:t>
      </w:r>
      <w:r>
        <w:rPr>
          <w:rFonts w:hint="eastAsia" w:ascii="仿宋_GB2312" w:eastAsia="仿宋_GB2312"/>
          <w:szCs w:val="32"/>
        </w:rPr>
        <w:t>万元，与2021年预算基本持平，完成年初预算的</w:t>
      </w:r>
      <w:r>
        <w:rPr>
          <w:rFonts w:hint="eastAsia" w:ascii="仿宋_GB2312" w:eastAsia="仿宋_GB2312"/>
          <w:szCs w:val="32"/>
          <w:lang w:val="en-US" w:eastAsia="zh-CN"/>
        </w:rPr>
        <w:t>100</w:t>
      </w:r>
      <w:r>
        <w:rPr>
          <w:rFonts w:hint="eastAsia" w:ascii="仿宋_GB2312" w:eastAsia="仿宋_GB2312"/>
          <w:szCs w:val="32"/>
        </w:rPr>
        <w:t>%</w:t>
      </w:r>
      <w:r>
        <w:rPr>
          <w:rFonts w:hint="eastAsia" w:ascii="仿宋_GB2312" w:eastAsia="仿宋_GB2312"/>
          <w:szCs w:val="32"/>
          <w:lang w:eastAsia="zh-CN"/>
        </w:rPr>
        <w:t>。</w:t>
      </w:r>
    </w:p>
    <w:p>
      <w:pPr>
        <w:spacing w:line="580" w:lineRule="exact"/>
        <w:ind w:firstLine="640" w:firstLineChars="200"/>
        <w:rPr>
          <w:rFonts w:hint="eastAsia" w:ascii="仿宋_GB2312" w:eastAsia="仿宋_GB2312"/>
          <w:szCs w:val="32"/>
        </w:rPr>
      </w:pPr>
      <w:r>
        <w:rPr>
          <w:rFonts w:hint="eastAsia" w:ascii="仿宋_GB2312" w:eastAsia="仿宋_GB2312"/>
          <w:szCs w:val="32"/>
        </w:rPr>
        <w:t>其中：公务用车购置费支出</w:t>
      </w:r>
      <w:r>
        <w:rPr>
          <w:rFonts w:hint="eastAsia" w:ascii="仿宋_GB2312" w:eastAsia="仿宋_GB2312"/>
          <w:szCs w:val="32"/>
          <w:lang w:val="en-US" w:eastAsia="zh-CN"/>
        </w:rPr>
        <w:t>0</w:t>
      </w:r>
      <w:r>
        <w:rPr>
          <w:rFonts w:hint="eastAsia" w:ascii="仿宋_GB2312" w:eastAsia="仿宋_GB2312"/>
          <w:szCs w:val="32"/>
        </w:rPr>
        <w:t>万元，公务用车运行维护费</w:t>
      </w:r>
      <w:r>
        <w:rPr>
          <w:rFonts w:hint="eastAsia" w:ascii="仿宋_GB2312" w:eastAsia="仿宋_GB2312"/>
          <w:szCs w:val="32"/>
          <w:lang w:val="en-US" w:eastAsia="zh-CN"/>
        </w:rPr>
        <w:t>0.9</w:t>
      </w:r>
      <w:r>
        <w:rPr>
          <w:rFonts w:hint="eastAsia" w:ascii="仿宋_GB2312" w:eastAsia="仿宋_GB2312"/>
          <w:szCs w:val="32"/>
        </w:rPr>
        <w:t xml:space="preserve"> 万元，主要是按规定保留的公务用车的燃料费、维修费</w:t>
      </w:r>
      <w:r>
        <w:rPr>
          <w:rFonts w:hint="eastAsia" w:ascii="仿宋_GB2312" w:eastAsia="仿宋_GB2312"/>
          <w:szCs w:val="32"/>
          <w:lang w:val="en-US" w:eastAsia="zh-CN"/>
        </w:rPr>
        <w:t>=</w:t>
      </w:r>
      <w:r>
        <w:rPr>
          <w:rFonts w:hint="eastAsia" w:ascii="仿宋_GB2312" w:eastAsia="仿宋_GB2312"/>
          <w:szCs w:val="32"/>
        </w:rPr>
        <w:t xml:space="preserve">等支出。截至2021年12月31日， </w:t>
      </w:r>
      <w:r>
        <w:rPr>
          <w:rFonts w:hint="eastAsia" w:ascii="仿宋_GB2312" w:eastAsia="仿宋_GB2312"/>
          <w:szCs w:val="32"/>
          <w:lang w:val="en-US" w:eastAsia="zh-CN"/>
        </w:rPr>
        <w:t>青岛市即墨区第一职业高级中学</w:t>
      </w:r>
      <w:r>
        <w:rPr>
          <w:rFonts w:hint="eastAsia" w:ascii="仿宋_GB2312" w:eastAsia="仿宋_GB2312"/>
          <w:szCs w:val="32"/>
        </w:rPr>
        <w:t>财政拨款开支运行维护费的公务用车保有量为</w:t>
      </w:r>
      <w:r>
        <w:rPr>
          <w:rFonts w:hint="eastAsia" w:ascii="仿宋_GB2312" w:eastAsia="仿宋_GB2312"/>
          <w:szCs w:val="32"/>
          <w:lang w:val="en-US" w:eastAsia="zh-CN"/>
        </w:rPr>
        <w:t>1</w:t>
      </w:r>
      <w:r>
        <w:rPr>
          <w:rFonts w:hint="eastAsia" w:ascii="仿宋_GB2312" w:eastAsia="仿宋_GB2312"/>
          <w:szCs w:val="32"/>
        </w:rPr>
        <w:t>辆。</w:t>
      </w:r>
    </w:p>
    <w:p>
      <w:pPr>
        <w:numPr>
          <w:ilvl w:val="0"/>
          <w:numId w:val="1"/>
        </w:numPr>
        <w:spacing w:line="580" w:lineRule="exact"/>
        <w:ind w:firstLine="640" w:firstLineChars="200"/>
        <w:rPr>
          <w:rFonts w:hint="eastAsia" w:ascii="仿宋_GB2312" w:eastAsia="仿宋_GB2312"/>
          <w:szCs w:val="32"/>
          <w:lang w:eastAsia="zh-CN"/>
        </w:rPr>
      </w:pPr>
      <w:r>
        <w:rPr>
          <w:rFonts w:hint="eastAsia" w:ascii="仿宋_GB2312" w:eastAsia="仿宋_GB2312"/>
          <w:szCs w:val="32"/>
        </w:rPr>
        <w:t>公务接待费年初预算为</w:t>
      </w:r>
      <w:r>
        <w:rPr>
          <w:rFonts w:hint="eastAsia" w:ascii="仿宋_GB2312" w:eastAsia="仿宋_GB2312"/>
          <w:szCs w:val="32"/>
          <w:lang w:val="en-US" w:eastAsia="zh-CN"/>
        </w:rPr>
        <w:t>0</w:t>
      </w:r>
      <w:r>
        <w:rPr>
          <w:rFonts w:hint="eastAsia" w:ascii="仿宋_GB2312" w:eastAsia="仿宋_GB2312"/>
          <w:szCs w:val="32"/>
        </w:rPr>
        <w:t>万元，支出决算为</w:t>
      </w:r>
      <w:r>
        <w:rPr>
          <w:rFonts w:hint="eastAsia" w:ascii="仿宋_GB2312" w:eastAsia="仿宋_GB2312"/>
          <w:szCs w:val="32"/>
          <w:lang w:val="en-US" w:eastAsia="zh-CN"/>
        </w:rPr>
        <w:t>0</w:t>
      </w:r>
      <w:r>
        <w:rPr>
          <w:rFonts w:hint="eastAsia" w:ascii="仿宋_GB2312" w:eastAsia="仿宋_GB2312"/>
          <w:szCs w:val="32"/>
        </w:rPr>
        <w:t>万元，与2021年预算基本持平，完成年初预算的</w:t>
      </w:r>
      <w:r>
        <w:rPr>
          <w:rFonts w:hint="eastAsia" w:ascii="仿宋_GB2312" w:eastAsia="仿宋_GB2312"/>
          <w:szCs w:val="32"/>
          <w:lang w:val="en-US" w:eastAsia="zh-CN"/>
        </w:rPr>
        <w:t>100</w:t>
      </w:r>
      <w:r>
        <w:rPr>
          <w:rFonts w:hint="eastAsia" w:ascii="仿宋_GB2312" w:eastAsia="仿宋_GB2312"/>
          <w:szCs w:val="32"/>
        </w:rPr>
        <w:t xml:space="preserve">%， </w:t>
      </w:r>
      <w:r>
        <w:rPr>
          <w:rFonts w:hint="eastAsia" w:ascii="仿宋_GB2312" w:eastAsia="仿宋_GB2312"/>
          <w:szCs w:val="32"/>
          <w:lang w:eastAsia="zh-CN"/>
        </w:rPr>
        <w:t>。</w:t>
      </w:r>
    </w:p>
    <w:p>
      <w:pPr>
        <w:numPr>
          <w:ilvl w:val="0"/>
          <w:numId w:val="1"/>
        </w:numPr>
        <w:spacing w:line="580" w:lineRule="exact"/>
        <w:ind w:firstLine="640" w:firstLineChars="200"/>
        <w:rPr>
          <w:rFonts w:hint="eastAsia" w:ascii="仿宋_GB2312" w:eastAsia="仿宋_GB2312"/>
          <w:szCs w:val="32"/>
        </w:rPr>
      </w:pPr>
      <w:r>
        <w:rPr>
          <w:rFonts w:hint="eastAsia" w:ascii="仿宋_GB2312" w:eastAsia="仿宋_GB2312"/>
          <w:szCs w:val="32"/>
        </w:rPr>
        <w:t>其中：国内接待费</w:t>
      </w:r>
      <w:r>
        <w:rPr>
          <w:rFonts w:hint="eastAsia" w:ascii="仿宋_GB2312" w:eastAsia="仿宋_GB2312"/>
          <w:szCs w:val="32"/>
          <w:lang w:val="en-US" w:eastAsia="zh-CN"/>
        </w:rPr>
        <w:t>0</w:t>
      </w:r>
      <w:r>
        <w:rPr>
          <w:rFonts w:hint="eastAsia" w:ascii="仿宋_GB2312" w:eastAsia="仿宋_GB2312"/>
          <w:szCs w:val="32"/>
        </w:rPr>
        <w:t>万元；国（境）外接待费</w:t>
      </w:r>
      <w:r>
        <w:rPr>
          <w:rFonts w:hint="eastAsia" w:ascii="仿宋_GB2312" w:eastAsia="仿宋_GB2312"/>
          <w:szCs w:val="32"/>
          <w:lang w:val="en-US" w:eastAsia="zh-CN"/>
        </w:rPr>
        <w:t>0</w:t>
      </w:r>
      <w:r>
        <w:rPr>
          <w:rFonts w:hint="eastAsia" w:ascii="仿宋_GB2312" w:eastAsia="仿宋_GB2312"/>
          <w:szCs w:val="32"/>
        </w:rPr>
        <w:t xml:space="preserve"> 万元。</w:t>
      </w:r>
    </w:p>
    <w:p>
      <w:pPr>
        <w:spacing w:line="580" w:lineRule="exact"/>
        <w:ind w:firstLine="640" w:firstLineChars="200"/>
        <w:rPr>
          <w:rFonts w:hint="eastAsia" w:ascii="黑体" w:hAnsi="黑体" w:eastAsia="黑体"/>
          <w:szCs w:val="32"/>
        </w:rPr>
      </w:pPr>
      <w:r>
        <w:rPr>
          <w:rFonts w:hint="eastAsia" w:ascii="黑体" w:hAnsi="黑体" w:eastAsia="黑体"/>
          <w:szCs w:val="32"/>
        </w:rPr>
        <w:t>八、政府性基金预算财政拨款收入支出决算情况</w:t>
      </w:r>
    </w:p>
    <w:p>
      <w:pPr>
        <w:spacing w:line="580" w:lineRule="exact"/>
        <w:ind w:firstLine="643" w:firstLineChars="200"/>
        <w:rPr>
          <w:rFonts w:hint="eastAsia" w:ascii="仿宋_GB2312" w:eastAsia="仿宋_GB2312"/>
          <w:b/>
          <w:szCs w:val="32"/>
        </w:rPr>
      </w:pPr>
      <w:r>
        <w:rPr>
          <w:rFonts w:hint="eastAsia" w:ascii="仿宋_GB2312" w:eastAsia="仿宋_GB2312"/>
          <w:b/>
          <w:szCs w:val="32"/>
        </w:rPr>
        <w:t>本单位没有政府性基金财政拨款收支</w:t>
      </w:r>
    </w:p>
    <w:p>
      <w:pPr>
        <w:spacing w:line="580" w:lineRule="exact"/>
        <w:ind w:firstLine="640" w:firstLineChars="200"/>
        <w:rPr>
          <w:rFonts w:hint="eastAsia" w:ascii="黑体" w:hAnsi="黑体" w:eastAsia="黑体"/>
          <w:szCs w:val="32"/>
        </w:rPr>
      </w:pPr>
    </w:p>
    <w:p>
      <w:pPr>
        <w:spacing w:line="580" w:lineRule="exact"/>
        <w:ind w:firstLine="640" w:firstLineChars="200"/>
        <w:rPr>
          <w:rFonts w:hint="eastAsia" w:ascii="黑体" w:hAnsi="黑体" w:eastAsia="黑体"/>
          <w:szCs w:val="32"/>
        </w:rPr>
      </w:pPr>
      <w:r>
        <w:rPr>
          <w:rFonts w:hint="eastAsia" w:ascii="黑体" w:hAnsi="黑体" w:eastAsia="黑体"/>
          <w:szCs w:val="32"/>
        </w:rPr>
        <w:t>九、国有资本经营预算财政拨款支出决算情况说明</w:t>
      </w:r>
    </w:p>
    <w:p>
      <w:pPr>
        <w:spacing w:line="580" w:lineRule="exact"/>
        <w:ind w:firstLine="643" w:firstLineChars="200"/>
        <w:rPr>
          <w:rFonts w:hint="eastAsia" w:ascii="仿宋_GB2312" w:eastAsia="仿宋_GB2312"/>
          <w:b/>
          <w:szCs w:val="32"/>
        </w:rPr>
      </w:pPr>
      <w:r>
        <w:rPr>
          <w:rFonts w:hint="eastAsia" w:ascii="仿宋_GB2312" w:eastAsia="仿宋_GB2312"/>
          <w:b/>
          <w:szCs w:val="32"/>
        </w:rPr>
        <w:t>本单位没有国有资本经营预算财政拨款支出</w:t>
      </w:r>
    </w:p>
    <w:p>
      <w:pPr>
        <w:spacing w:line="580" w:lineRule="exact"/>
        <w:ind w:firstLine="640" w:firstLineChars="200"/>
        <w:rPr>
          <w:rFonts w:hint="eastAsia" w:ascii="黑体" w:hAnsi="黑体" w:eastAsia="黑体"/>
          <w:szCs w:val="32"/>
        </w:rPr>
      </w:pPr>
    </w:p>
    <w:p>
      <w:pPr>
        <w:spacing w:line="580" w:lineRule="exact"/>
        <w:ind w:firstLine="640" w:firstLineChars="200"/>
        <w:rPr>
          <w:rFonts w:hint="eastAsia" w:ascii="黑体" w:hAnsi="黑体" w:eastAsia="黑体"/>
          <w:szCs w:val="32"/>
        </w:rPr>
      </w:pPr>
      <w:r>
        <w:rPr>
          <w:rFonts w:hint="eastAsia" w:ascii="黑体" w:hAnsi="黑体" w:eastAsia="黑体"/>
          <w:szCs w:val="32"/>
        </w:rPr>
        <w:t xml:space="preserve">十、其他重要事项情况说明 </w:t>
      </w:r>
    </w:p>
    <w:p>
      <w:pPr>
        <w:spacing w:line="580" w:lineRule="exact"/>
        <w:ind w:firstLine="640" w:firstLineChars="200"/>
        <w:rPr>
          <w:rFonts w:hint="eastAsia" w:ascii="楷体_GB2312" w:eastAsia="楷体_GB2312"/>
          <w:szCs w:val="32"/>
        </w:rPr>
      </w:pPr>
      <w:r>
        <w:rPr>
          <w:rFonts w:hint="eastAsia" w:ascii="楷体_GB2312" w:eastAsia="楷体_GB2312"/>
          <w:szCs w:val="32"/>
        </w:rPr>
        <w:t>（一）机关运行经费支出情况</w:t>
      </w:r>
    </w:p>
    <w:p>
      <w:pPr>
        <w:spacing w:line="580" w:lineRule="exact"/>
        <w:ind w:firstLine="643" w:firstLineChars="200"/>
        <w:rPr>
          <w:rFonts w:hint="eastAsia" w:ascii="仿宋_GB2312" w:eastAsia="仿宋_GB2312"/>
          <w:b/>
          <w:szCs w:val="32"/>
        </w:rPr>
      </w:pPr>
      <w:r>
        <w:rPr>
          <w:rFonts w:hint="eastAsia" w:ascii="仿宋_GB2312" w:eastAsia="仿宋_GB2312"/>
          <w:b/>
          <w:szCs w:val="32"/>
        </w:rPr>
        <w:t>本单位无一般公共预算安排的机关运行经费支出。</w:t>
      </w:r>
    </w:p>
    <w:p>
      <w:pPr>
        <w:spacing w:line="580" w:lineRule="exact"/>
        <w:ind w:firstLine="640" w:firstLineChars="200"/>
        <w:rPr>
          <w:rFonts w:hint="eastAsia" w:ascii="楷体_GB2312" w:eastAsia="楷体_GB2312"/>
          <w:szCs w:val="32"/>
        </w:rPr>
      </w:pPr>
    </w:p>
    <w:p>
      <w:pPr>
        <w:spacing w:line="580" w:lineRule="exact"/>
        <w:ind w:firstLine="640" w:firstLineChars="200"/>
        <w:rPr>
          <w:rFonts w:hint="eastAsia" w:ascii="楷体_GB2312" w:eastAsia="楷体_GB2312"/>
          <w:szCs w:val="32"/>
        </w:rPr>
      </w:pPr>
      <w:r>
        <w:rPr>
          <w:rFonts w:hint="eastAsia" w:ascii="楷体_GB2312" w:eastAsia="楷体_GB2312"/>
          <w:szCs w:val="32"/>
        </w:rPr>
        <w:t>（二）政府采购支出情况</w:t>
      </w:r>
    </w:p>
    <w:p>
      <w:pPr>
        <w:autoSpaceDE w:val="0"/>
        <w:autoSpaceDN w:val="0"/>
        <w:adjustRightInd w:val="0"/>
        <w:spacing w:line="580" w:lineRule="exact"/>
        <w:ind w:firstLine="640" w:firstLineChars="200"/>
        <w:jc w:val="left"/>
        <w:rPr>
          <w:rFonts w:hint="eastAsia" w:ascii="仿宋_GB2312" w:hAnsi="宋体" w:eastAsia="仿宋_GB2312" w:cs="Courier New"/>
          <w:szCs w:val="32"/>
        </w:rPr>
      </w:pPr>
      <w:r>
        <w:rPr>
          <w:rFonts w:hint="eastAsia" w:ascii="仿宋_GB2312" w:hAnsi="宋体" w:eastAsia="仿宋_GB2312" w:cs="Courier New"/>
          <w:szCs w:val="32"/>
        </w:rPr>
        <w:t>2021年度政府采购支出总额</w:t>
      </w:r>
      <w:r>
        <w:rPr>
          <w:rFonts w:hint="eastAsia" w:ascii="仿宋_GB2312" w:hAnsi="宋体" w:eastAsia="仿宋_GB2312" w:cs="Courier New"/>
          <w:sz w:val="32"/>
          <w:szCs w:val="32"/>
          <w:lang w:val="en-US" w:eastAsia="zh-CN"/>
        </w:rPr>
        <w:t>24.95</w:t>
      </w:r>
      <w:r>
        <w:rPr>
          <w:rFonts w:hint="eastAsia" w:ascii="仿宋_GB2312" w:hAnsi="宋体" w:eastAsia="仿宋_GB2312" w:cs="Courier New"/>
          <w:szCs w:val="32"/>
        </w:rPr>
        <w:t>万元，其中：政府采购货物支出</w:t>
      </w:r>
      <w:r>
        <w:rPr>
          <w:rFonts w:hint="eastAsia" w:ascii="仿宋_GB2312" w:hAnsi="宋体" w:eastAsia="仿宋_GB2312" w:cs="Courier New"/>
          <w:sz w:val="32"/>
          <w:szCs w:val="32"/>
          <w:lang w:val="en-US" w:eastAsia="zh-CN"/>
        </w:rPr>
        <w:t>24.95</w:t>
      </w:r>
      <w:r>
        <w:rPr>
          <w:rFonts w:hint="eastAsia" w:ascii="仿宋_GB2312" w:hAnsi="宋体" w:eastAsia="仿宋_GB2312" w:cs="Courier New"/>
          <w:szCs w:val="32"/>
        </w:rPr>
        <w:t>万元、政府采购工程支出</w:t>
      </w:r>
      <w:r>
        <w:rPr>
          <w:rFonts w:hint="eastAsia" w:ascii="仿宋_GB2312" w:hAnsi="宋体" w:eastAsia="仿宋_GB2312" w:cs="Courier New"/>
          <w:szCs w:val="32"/>
          <w:lang w:val="en-US" w:eastAsia="zh-CN"/>
        </w:rPr>
        <w:t>0</w:t>
      </w:r>
      <w:r>
        <w:rPr>
          <w:rFonts w:hint="eastAsia" w:ascii="仿宋_GB2312" w:hAnsi="宋体" w:eastAsia="仿宋_GB2312" w:cs="Courier New"/>
          <w:szCs w:val="32"/>
        </w:rPr>
        <w:t>万元、政府采购服务支出</w:t>
      </w:r>
      <w:r>
        <w:rPr>
          <w:rFonts w:hint="eastAsia" w:ascii="仿宋_GB2312" w:hAnsi="宋体" w:eastAsia="仿宋_GB2312" w:cs="Courier New"/>
          <w:szCs w:val="32"/>
          <w:lang w:val="en-US" w:eastAsia="zh-CN"/>
        </w:rPr>
        <w:t>0</w:t>
      </w:r>
      <w:r>
        <w:rPr>
          <w:rFonts w:hint="eastAsia" w:ascii="仿宋_GB2312" w:hAnsi="宋体" w:eastAsia="仿宋_GB2312" w:cs="Courier New"/>
          <w:szCs w:val="32"/>
        </w:rPr>
        <w:t>万元。授予中小企业合同金额</w:t>
      </w:r>
      <w:r>
        <w:rPr>
          <w:rFonts w:hint="eastAsia" w:ascii="仿宋_GB2312" w:hAnsi="宋体" w:eastAsia="仿宋_GB2312" w:cs="Courier New"/>
          <w:sz w:val="32"/>
          <w:szCs w:val="32"/>
          <w:lang w:val="en-US" w:eastAsia="zh-CN"/>
        </w:rPr>
        <w:t>24.95</w:t>
      </w:r>
      <w:r>
        <w:rPr>
          <w:rFonts w:hint="eastAsia" w:ascii="仿宋_GB2312" w:hAnsi="宋体" w:eastAsia="仿宋_GB2312" w:cs="Courier New"/>
          <w:szCs w:val="32"/>
        </w:rPr>
        <w:t>万元，占政府采购支出总额的</w:t>
      </w:r>
      <w:r>
        <w:rPr>
          <w:rFonts w:hint="eastAsia" w:ascii="仿宋_GB2312" w:hAnsi="宋体" w:eastAsia="仿宋_GB2312" w:cs="Courier New"/>
          <w:szCs w:val="32"/>
          <w:lang w:val="en-US" w:eastAsia="zh-CN"/>
        </w:rPr>
        <w:t>100</w:t>
      </w:r>
      <w:r>
        <w:rPr>
          <w:rFonts w:hint="eastAsia" w:ascii="仿宋_GB2312" w:hAnsi="宋体" w:eastAsia="仿宋_GB2312" w:cs="Courier New"/>
          <w:szCs w:val="32"/>
        </w:rPr>
        <w:t>%，其中：授予小微企业合同金额</w:t>
      </w:r>
      <w:r>
        <w:rPr>
          <w:rFonts w:hint="eastAsia" w:ascii="仿宋_GB2312" w:hAnsi="宋体" w:eastAsia="仿宋_GB2312" w:cs="Courier New"/>
          <w:sz w:val="32"/>
          <w:szCs w:val="32"/>
          <w:lang w:val="en-US" w:eastAsia="zh-CN"/>
        </w:rPr>
        <w:t>24.95</w:t>
      </w:r>
      <w:r>
        <w:rPr>
          <w:rFonts w:hint="eastAsia" w:ascii="仿宋_GB2312" w:hAnsi="宋体" w:eastAsia="仿宋_GB2312" w:cs="Courier New"/>
          <w:szCs w:val="32"/>
        </w:rPr>
        <w:t>万元，占政府采购支出总额的</w:t>
      </w:r>
      <w:r>
        <w:rPr>
          <w:rFonts w:hint="eastAsia" w:ascii="仿宋_GB2312" w:hAnsi="宋体" w:eastAsia="仿宋_GB2312" w:cs="Courier New"/>
          <w:szCs w:val="32"/>
          <w:lang w:val="en-US" w:eastAsia="zh-CN"/>
        </w:rPr>
        <w:t>100</w:t>
      </w:r>
      <w:r>
        <w:rPr>
          <w:rFonts w:hint="eastAsia" w:ascii="仿宋_GB2312" w:hAnsi="宋体" w:eastAsia="仿宋_GB2312" w:cs="Courier New"/>
          <w:szCs w:val="32"/>
        </w:rPr>
        <w:t>%。货物采购授予中小企业合同金额占货物支出金额的</w:t>
      </w:r>
      <w:r>
        <w:rPr>
          <w:rFonts w:hint="eastAsia" w:ascii="仿宋_GB2312" w:hAnsi="宋体" w:eastAsia="仿宋_GB2312" w:cs="Courier New"/>
          <w:szCs w:val="32"/>
          <w:lang w:val="en-US" w:eastAsia="zh-CN"/>
        </w:rPr>
        <w:t>0</w:t>
      </w:r>
      <w:r>
        <w:rPr>
          <w:rFonts w:hint="eastAsia" w:ascii="仿宋_GB2312" w:hAnsi="宋体" w:eastAsia="仿宋_GB2312" w:cs="Courier New"/>
          <w:szCs w:val="32"/>
        </w:rPr>
        <w:t>%，工程采购授予中小企业合同金额占工程支出金额的</w:t>
      </w:r>
      <w:r>
        <w:rPr>
          <w:rFonts w:hint="eastAsia" w:ascii="仿宋_GB2312" w:hAnsi="宋体" w:eastAsia="仿宋_GB2312" w:cs="Courier New"/>
          <w:szCs w:val="32"/>
          <w:lang w:val="en-US" w:eastAsia="zh-CN"/>
        </w:rPr>
        <w:t>0</w:t>
      </w:r>
      <w:r>
        <w:rPr>
          <w:rFonts w:hint="eastAsia" w:ascii="仿宋_GB2312" w:hAnsi="宋体" w:eastAsia="仿宋_GB2312" w:cs="Courier New"/>
          <w:szCs w:val="32"/>
        </w:rPr>
        <w:t>%，服务采购授予中小企业合同金额占服务支出金额的</w:t>
      </w:r>
      <w:r>
        <w:rPr>
          <w:rFonts w:hint="eastAsia" w:ascii="仿宋_GB2312" w:hAnsi="宋体" w:eastAsia="仿宋_GB2312" w:cs="Courier New"/>
          <w:szCs w:val="32"/>
          <w:lang w:val="en-US" w:eastAsia="zh-CN"/>
        </w:rPr>
        <w:t>0</w:t>
      </w:r>
      <w:r>
        <w:rPr>
          <w:rFonts w:hint="eastAsia" w:ascii="仿宋_GB2312" w:hAnsi="宋体" w:eastAsia="仿宋_GB2312" w:cs="Courier New"/>
          <w:szCs w:val="32"/>
        </w:rPr>
        <w:t>%。</w:t>
      </w:r>
    </w:p>
    <w:p>
      <w:pPr>
        <w:spacing w:line="580" w:lineRule="exact"/>
        <w:ind w:firstLine="640" w:firstLineChars="200"/>
        <w:rPr>
          <w:rFonts w:hint="eastAsia" w:ascii="仿宋_GB2312" w:eastAsia="仿宋_GB2312"/>
          <w:b/>
          <w:szCs w:val="32"/>
        </w:rPr>
      </w:pPr>
      <w:r>
        <w:rPr>
          <w:rFonts w:hint="eastAsia" w:ascii="仿宋_GB2312" w:hAnsi="宋体" w:eastAsia="仿宋_GB2312" w:cs="Courier New"/>
          <w:szCs w:val="32"/>
        </w:rPr>
        <w:t>2021年度政府采购支出总额0万元，其中：政府采购货物支出0万元、政府采购工程支出0万元、政府采购服务支出0万元。授予中小企业合同金额0万元，其中：授予小微企业合同金额0万元。）</w:t>
      </w:r>
    </w:p>
    <w:p>
      <w:pPr>
        <w:spacing w:line="580" w:lineRule="exact"/>
        <w:ind w:firstLine="640" w:firstLineChars="200"/>
        <w:rPr>
          <w:rFonts w:hint="eastAsia" w:ascii="楷体_GB2312" w:eastAsia="楷体_GB2312"/>
          <w:szCs w:val="32"/>
        </w:rPr>
      </w:pPr>
      <w:r>
        <w:rPr>
          <w:rFonts w:hint="eastAsia" w:ascii="楷体_GB2312" w:eastAsia="楷体_GB2312"/>
          <w:szCs w:val="32"/>
        </w:rPr>
        <w:t>（三）国有资产占用情况</w:t>
      </w:r>
    </w:p>
    <w:p>
      <w:pPr>
        <w:spacing w:line="580" w:lineRule="exact"/>
        <w:ind w:firstLine="640" w:firstLineChars="200"/>
        <w:rPr>
          <w:rFonts w:hint="eastAsia" w:ascii="仿宋_GB2312" w:eastAsia="仿宋_GB2312"/>
          <w:szCs w:val="32"/>
        </w:rPr>
      </w:pPr>
      <w:r>
        <w:rPr>
          <w:rFonts w:hint="eastAsia" w:ascii="仿宋_GB2312" w:eastAsia="仿宋_GB2312"/>
          <w:szCs w:val="32"/>
        </w:rPr>
        <w:t>截至 2021 年 12 月 31 日，本单位共有车辆</w:t>
      </w:r>
      <w:r>
        <w:rPr>
          <w:rFonts w:hint="eastAsia" w:ascii="仿宋_GB2312" w:eastAsia="仿宋_GB2312"/>
          <w:szCs w:val="32"/>
          <w:lang w:val="en-US" w:eastAsia="zh-CN"/>
        </w:rPr>
        <w:t>1</w:t>
      </w:r>
      <w:r>
        <w:rPr>
          <w:rFonts w:hint="eastAsia" w:ascii="仿宋_GB2312" w:eastAsia="仿宋_GB2312"/>
          <w:szCs w:val="32"/>
        </w:rPr>
        <w:t>辆，其中，符合规定领导干部用车</w:t>
      </w:r>
      <w:r>
        <w:rPr>
          <w:rFonts w:hint="eastAsia" w:ascii="仿宋_GB2312" w:eastAsia="仿宋_GB2312"/>
          <w:szCs w:val="32"/>
          <w:lang w:val="en-US" w:eastAsia="zh-CN"/>
        </w:rPr>
        <w:t>0</w:t>
      </w:r>
      <w:r>
        <w:rPr>
          <w:rFonts w:hint="eastAsia" w:ascii="仿宋_GB2312" w:eastAsia="仿宋_GB2312"/>
          <w:szCs w:val="32"/>
        </w:rPr>
        <w:t>辆、机要通信用车</w:t>
      </w:r>
      <w:r>
        <w:rPr>
          <w:rFonts w:hint="eastAsia" w:ascii="仿宋_GB2312" w:eastAsia="仿宋_GB2312"/>
          <w:szCs w:val="32"/>
          <w:lang w:val="en-US" w:eastAsia="zh-CN"/>
        </w:rPr>
        <w:t>1</w:t>
      </w:r>
      <w:r>
        <w:rPr>
          <w:rFonts w:hint="eastAsia" w:ascii="仿宋_GB2312" w:eastAsia="仿宋_GB2312"/>
          <w:szCs w:val="32"/>
        </w:rPr>
        <w:t>辆、应急保障用车</w:t>
      </w:r>
      <w:r>
        <w:rPr>
          <w:rFonts w:hint="eastAsia" w:ascii="仿宋_GB2312" w:eastAsia="仿宋_GB2312"/>
          <w:szCs w:val="32"/>
          <w:lang w:val="en-US" w:eastAsia="zh-CN"/>
        </w:rPr>
        <w:t>0</w:t>
      </w:r>
      <w:r>
        <w:rPr>
          <w:rFonts w:hint="eastAsia" w:ascii="仿宋_GB2312" w:eastAsia="仿宋_GB2312"/>
          <w:szCs w:val="32"/>
        </w:rPr>
        <w:t>辆、执法执勤用车</w:t>
      </w:r>
      <w:r>
        <w:rPr>
          <w:rFonts w:hint="eastAsia" w:ascii="仿宋_GB2312" w:eastAsia="仿宋_GB2312"/>
          <w:szCs w:val="32"/>
          <w:lang w:val="en-US" w:eastAsia="zh-CN"/>
        </w:rPr>
        <w:t>0</w:t>
      </w:r>
      <w:r>
        <w:rPr>
          <w:rFonts w:hint="eastAsia" w:ascii="仿宋_GB2312" w:eastAsia="仿宋_GB2312"/>
          <w:szCs w:val="32"/>
        </w:rPr>
        <w:t>辆、特种专业技术用车</w:t>
      </w:r>
      <w:r>
        <w:rPr>
          <w:rFonts w:hint="eastAsia" w:ascii="仿宋_GB2312" w:eastAsia="仿宋_GB2312"/>
          <w:szCs w:val="32"/>
          <w:lang w:val="en-US" w:eastAsia="zh-CN"/>
        </w:rPr>
        <w:t>0</w:t>
      </w:r>
      <w:r>
        <w:rPr>
          <w:rFonts w:hint="eastAsia" w:ascii="仿宋_GB2312" w:eastAsia="仿宋_GB2312"/>
          <w:szCs w:val="32"/>
        </w:rPr>
        <w:t>辆、离退休干部用车</w:t>
      </w:r>
      <w:r>
        <w:rPr>
          <w:rFonts w:hint="eastAsia" w:ascii="仿宋_GB2312" w:eastAsia="仿宋_GB2312"/>
          <w:szCs w:val="32"/>
          <w:lang w:val="en-US" w:eastAsia="zh-CN"/>
        </w:rPr>
        <w:t>0</w:t>
      </w:r>
      <w:r>
        <w:rPr>
          <w:rFonts w:hint="eastAsia" w:ascii="仿宋_GB2312" w:eastAsia="仿宋_GB2312"/>
          <w:szCs w:val="32"/>
        </w:rPr>
        <w:t>辆、其他用车</w:t>
      </w:r>
      <w:r>
        <w:rPr>
          <w:rFonts w:hint="eastAsia" w:ascii="仿宋_GB2312" w:eastAsia="仿宋_GB2312"/>
          <w:szCs w:val="32"/>
          <w:lang w:val="en-US" w:eastAsia="zh-CN"/>
        </w:rPr>
        <w:t>0</w:t>
      </w:r>
      <w:r>
        <w:rPr>
          <w:rFonts w:hint="eastAsia" w:ascii="仿宋_GB2312" w:eastAsia="仿宋_GB2312"/>
          <w:szCs w:val="32"/>
        </w:rPr>
        <w:t>辆；单位价值 50 万元以上通用设备</w:t>
      </w:r>
      <w:r>
        <w:rPr>
          <w:rFonts w:hint="eastAsia" w:ascii="仿宋_GB2312" w:eastAsia="仿宋_GB2312"/>
          <w:szCs w:val="32"/>
          <w:lang w:val="en-US" w:eastAsia="zh-CN"/>
        </w:rPr>
        <w:t>0</w:t>
      </w:r>
      <w:r>
        <w:rPr>
          <w:rFonts w:hint="eastAsia" w:ascii="仿宋_GB2312" w:eastAsia="仿宋_GB2312"/>
          <w:szCs w:val="32"/>
        </w:rPr>
        <w:t>台（套）；单位价值 100 万元以上专用设备</w:t>
      </w:r>
      <w:r>
        <w:rPr>
          <w:rFonts w:hint="eastAsia" w:ascii="仿宋_GB2312" w:eastAsia="仿宋_GB2312"/>
          <w:szCs w:val="32"/>
          <w:lang w:val="en-US" w:eastAsia="zh-CN"/>
        </w:rPr>
        <w:t>0</w:t>
      </w:r>
      <w:r>
        <w:rPr>
          <w:rFonts w:hint="eastAsia" w:ascii="仿宋_GB2312" w:eastAsia="仿宋_GB2312"/>
          <w:szCs w:val="32"/>
        </w:rPr>
        <w:t>台（套）。</w:t>
      </w:r>
    </w:p>
    <w:p>
      <w:pPr>
        <w:spacing w:line="580" w:lineRule="exact"/>
        <w:ind w:firstLine="640" w:firstLineChars="200"/>
        <w:rPr>
          <w:rFonts w:ascii="黑体" w:hAnsi="黑体" w:eastAsia="黑体"/>
          <w:szCs w:val="32"/>
        </w:rPr>
      </w:pPr>
      <w:r>
        <w:rPr>
          <w:rFonts w:hint="eastAsia" w:ascii="黑体" w:hAnsi="黑体" w:eastAsia="黑体"/>
          <w:szCs w:val="32"/>
        </w:rPr>
        <w:t>十一、预算绩效情况说明</w:t>
      </w:r>
    </w:p>
    <w:p>
      <w:pPr>
        <w:spacing w:line="580" w:lineRule="exact"/>
        <w:ind w:firstLine="640" w:firstLineChars="200"/>
        <w:rPr>
          <w:rFonts w:hint="eastAsia" w:ascii="楷体_GB2312" w:eastAsia="楷体_GB2312"/>
          <w:bCs/>
          <w:kern w:val="0"/>
          <w:szCs w:val="32"/>
        </w:rPr>
      </w:pPr>
      <w:r>
        <w:rPr>
          <w:rFonts w:hint="eastAsia" w:ascii="楷体_GB2312" w:eastAsia="楷体_GB2312"/>
          <w:bCs/>
          <w:kern w:val="0"/>
          <w:szCs w:val="32"/>
        </w:rPr>
        <w:t>（一）预算绩效管理工作开展情况</w:t>
      </w:r>
    </w:p>
    <w:p>
      <w:pPr>
        <w:spacing w:line="580" w:lineRule="exact"/>
        <w:ind w:firstLine="640" w:firstLineChars="200"/>
        <w:rPr>
          <w:rFonts w:ascii="仿宋_GB2312" w:eastAsia="仿宋_GB2312" w:cs="仿宋_GB2312"/>
          <w:szCs w:val="32"/>
        </w:rPr>
      </w:pPr>
      <w:r>
        <w:rPr>
          <w:rFonts w:hint="eastAsia" w:ascii="仿宋_GB2312" w:eastAsia="仿宋_GB2312"/>
          <w:kern w:val="0"/>
          <w:szCs w:val="32"/>
        </w:rPr>
        <w:t>根据预算绩效管理要求，我单位按照“谁用款、谁评价”的原则，组织对2021年度区级预算安排项目支出进行全面自评，涵盖项目</w:t>
      </w:r>
      <w:r>
        <w:rPr>
          <w:rFonts w:hint="eastAsia" w:ascii="仿宋_GB2312" w:eastAsia="仿宋_GB2312"/>
          <w:kern w:val="0"/>
          <w:szCs w:val="32"/>
          <w:lang w:val="en-US" w:eastAsia="zh-CN"/>
        </w:rPr>
        <w:t>1</w:t>
      </w:r>
      <w:r>
        <w:rPr>
          <w:rFonts w:hint="eastAsia" w:ascii="仿宋_GB2312" w:eastAsia="仿宋_GB2312"/>
          <w:kern w:val="0"/>
          <w:szCs w:val="32"/>
        </w:rPr>
        <w:t>个，涉及预算资金</w:t>
      </w:r>
      <w:r>
        <w:rPr>
          <w:rFonts w:hint="eastAsia" w:ascii="仿宋_GB2312" w:eastAsia="仿宋_GB2312"/>
          <w:sz w:val="32"/>
          <w:szCs w:val="32"/>
          <w:lang w:val="en-US" w:eastAsia="zh-CN"/>
        </w:rPr>
        <w:t>2,510.08</w:t>
      </w:r>
      <w:r>
        <w:rPr>
          <w:rFonts w:hint="eastAsia" w:ascii="仿宋_GB2312" w:eastAsia="仿宋_GB2312"/>
          <w:kern w:val="0"/>
          <w:szCs w:val="32"/>
        </w:rPr>
        <w:t>万元，占单位预算项目支出总额的</w:t>
      </w:r>
      <w:r>
        <w:rPr>
          <w:rFonts w:hint="eastAsia" w:ascii="仿宋_GB2312" w:eastAsia="仿宋_GB2312"/>
          <w:kern w:val="0"/>
          <w:szCs w:val="32"/>
          <w:lang w:val="en-US" w:eastAsia="zh-CN"/>
        </w:rPr>
        <w:t>100</w:t>
      </w:r>
      <w:r>
        <w:rPr>
          <w:rFonts w:hint="eastAsia" w:ascii="仿宋_GB2312" w:eastAsia="仿宋_GB2312"/>
          <w:kern w:val="0"/>
          <w:szCs w:val="32"/>
        </w:rPr>
        <w:t>%。</w:t>
      </w:r>
    </w:p>
    <w:p>
      <w:pPr>
        <w:spacing w:line="580" w:lineRule="exact"/>
        <w:ind w:firstLine="643" w:firstLineChars="200"/>
        <w:rPr>
          <w:rFonts w:hint="eastAsia" w:ascii="仿宋_GB2312" w:eastAsia="仿宋_GB2312" w:cs="仿宋_GB2312"/>
          <w:b/>
          <w:szCs w:val="32"/>
        </w:rPr>
      </w:pPr>
      <w:r>
        <w:rPr>
          <w:rFonts w:hint="eastAsia" w:ascii="仿宋_GB2312" w:eastAsia="仿宋_GB2312" w:cs="仿宋_GB2312"/>
          <w:b/>
          <w:szCs w:val="32"/>
        </w:rPr>
        <w:t>本单位无重点绩效评价项目。</w:t>
      </w:r>
    </w:p>
    <w:p>
      <w:pPr>
        <w:spacing w:line="580" w:lineRule="exact"/>
        <w:ind w:firstLine="640" w:firstLineChars="200"/>
        <w:rPr>
          <w:rFonts w:hint="eastAsia" w:ascii="楷体_GB2312" w:eastAsia="楷体_GB2312"/>
          <w:bCs/>
          <w:kern w:val="0"/>
          <w:szCs w:val="32"/>
        </w:rPr>
      </w:pPr>
      <w:r>
        <w:rPr>
          <w:rFonts w:hint="eastAsia" w:ascii="楷体_GB2312" w:eastAsia="楷体_GB2312"/>
          <w:bCs/>
          <w:kern w:val="0"/>
          <w:szCs w:val="32"/>
        </w:rPr>
        <w:t>（二）项目绩效自评结果</w:t>
      </w:r>
    </w:p>
    <w:p>
      <w:pPr>
        <w:spacing w:line="580" w:lineRule="exact"/>
        <w:ind w:firstLine="640" w:firstLineChars="200"/>
        <w:rPr>
          <w:rFonts w:ascii="仿宋_GB2312" w:eastAsia="仿宋_GB2312" w:cs="仿宋_GB2312"/>
          <w:szCs w:val="32"/>
        </w:rPr>
      </w:pPr>
      <w:r>
        <w:rPr>
          <w:rFonts w:hint="eastAsia" w:ascii="仿宋_GB2312" w:eastAsia="仿宋_GB2312"/>
          <w:szCs w:val="32"/>
          <w:lang w:val="en-US" w:eastAsia="zh-CN"/>
        </w:rPr>
        <w:t>青岛市即墨区第一职业高级中学</w:t>
      </w:r>
      <w:r>
        <w:rPr>
          <w:rFonts w:hint="eastAsia" w:ascii="仿宋_GB2312" w:eastAsia="仿宋_GB2312"/>
          <w:szCs w:val="32"/>
        </w:rPr>
        <w:t>2021年度区级预算安排项目支出绩效自评的</w:t>
      </w:r>
      <w:r>
        <w:rPr>
          <w:rFonts w:hint="eastAsia" w:ascii="仿宋_GB2312" w:eastAsia="仿宋_GB2312"/>
          <w:szCs w:val="32"/>
          <w:lang w:val="en-US" w:eastAsia="zh-CN"/>
        </w:rPr>
        <w:t>1</w:t>
      </w:r>
      <w:r>
        <w:rPr>
          <w:rFonts w:hint="eastAsia" w:ascii="仿宋_GB2312" w:eastAsia="仿宋_GB2312"/>
          <w:szCs w:val="32"/>
        </w:rPr>
        <w:t>个项目中，</w:t>
      </w:r>
      <w:r>
        <w:rPr>
          <w:rFonts w:hint="eastAsia" w:ascii="仿宋_GB2312" w:eastAsia="仿宋_GB2312"/>
          <w:szCs w:val="32"/>
          <w:lang w:val="en-US" w:eastAsia="zh-CN"/>
        </w:rPr>
        <w:t>1</w:t>
      </w:r>
      <w:r>
        <w:rPr>
          <w:rFonts w:hint="eastAsia" w:ascii="仿宋_GB2312" w:eastAsia="仿宋_GB2312"/>
          <w:szCs w:val="32"/>
        </w:rPr>
        <w:t>个项目自评等级为优，</w:t>
      </w:r>
      <w:r>
        <w:rPr>
          <w:rFonts w:hint="eastAsia" w:ascii="仿宋_GB2312" w:eastAsia="仿宋_GB2312"/>
          <w:szCs w:val="32"/>
          <w:lang w:val="en-US" w:eastAsia="zh-CN"/>
        </w:rPr>
        <w:t>0</w:t>
      </w:r>
      <w:r>
        <w:rPr>
          <w:rFonts w:hint="eastAsia" w:ascii="仿宋_GB2312" w:eastAsia="仿宋_GB2312"/>
          <w:szCs w:val="32"/>
        </w:rPr>
        <w:t>个项目自评等级为良，</w:t>
      </w:r>
      <w:r>
        <w:rPr>
          <w:rFonts w:hint="eastAsia" w:ascii="仿宋_GB2312" w:eastAsia="仿宋_GB2312"/>
          <w:szCs w:val="32"/>
          <w:lang w:val="en-US" w:eastAsia="zh-CN"/>
        </w:rPr>
        <w:t>0</w:t>
      </w:r>
      <w:r>
        <w:rPr>
          <w:rFonts w:hint="eastAsia" w:ascii="仿宋_GB2312" w:eastAsia="仿宋_GB2312"/>
          <w:szCs w:val="32"/>
        </w:rPr>
        <w:t>个项目自评等级为中，</w:t>
      </w:r>
      <w:r>
        <w:rPr>
          <w:rFonts w:hint="eastAsia" w:ascii="仿宋_GB2312" w:eastAsia="仿宋_GB2312"/>
          <w:szCs w:val="32"/>
          <w:lang w:val="en-US" w:eastAsia="zh-CN"/>
        </w:rPr>
        <w:t>0</w:t>
      </w:r>
      <w:r>
        <w:rPr>
          <w:rFonts w:hint="eastAsia" w:ascii="仿宋_GB2312" w:eastAsia="仿宋_GB2312"/>
          <w:szCs w:val="32"/>
        </w:rPr>
        <w:t>个项目自评等级为差。</w:t>
      </w:r>
      <w:r>
        <w:rPr>
          <w:rFonts w:hint="eastAsia" w:ascii="仿宋_GB2312" w:eastAsia="仿宋_GB2312" w:cs="仿宋_GB2312"/>
          <w:szCs w:val="32"/>
        </w:rPr>
        <w:t>从自评情况看，项目支出绩效管理的重视程度进一步提升，大部分项目有序开展，执行和完成情况较好，资金使用比较规范，但也存在部分项目产出指标低于预期、项目实施进展慢等问题。</w:t>
      </w:r>
    </w:p>
    <w:p>
      <w:pPr>
        <w:spacing w:line="580" w:lineRule="exact"/>
        <w:ind w:firstLine="200"/>
      </w:pPr>
    </w:p>
    <w:p>
      <w:pPr>
        <w:spacing w:line="580" w:lineRule="exact"/>
        <w:ind w:firstLine="200"/>
        <w:rPr>
          <w:rFonts w:hint="eastAsia" w:ascii="方正小标宋简体" w:eastAsia="方正小标宋简体"/>
          <w:sz w:val="42"/>
        </w:rPr>
      </w:pPr>
    </w:p>
    <w:p>
      <w:pPr>
        <w:rPr>
          <w:rFonts w:hint="eastAsia" w:ascii="方正小标宋简体" w:eastAsia="方正小标宋简体"/>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r>
        <w:rPr>
          <w:rFonts w:hint="eastAsia" w:ascii="方正小标宋简体" w:eastAsia="方正小标宋简体"/>
          <w:spacing w:val="60"/>
          <w:sz w:val="42"/>
        </w:rPr>
        <w:t>第四部分</w:t>
      </w:r>
    </w:p>
    <w:p>
      <w:pPr>
        <w:jc w:val="center"/>
        <w:rPr>
          <w:rFonts w:hint="eastAsia" w:ascii="方正小标宋简体" w:eastAsia="方正小标宋简体"/>
          <w:spacing w:val="60"/>
          <w:sz w:val="42"/>
        </w:rPr>
      </w:pPr>
    </w:p>
    <w:p>
      <w:pPr>
        <w:jc w:val="center"/>
        <w:rPr>
          <w:rFonts w:hint="eastAsia" w:ascii="方正小标宋简体" w:eastAsia="方正小标宋简体"/>
          <w:spacing w:val="60"/>
          <w:sz w:val="42"/>
        </w:rPr>
      </w:pPr>
    </w:p>
    <w:p>
      <w:pPr>
        <w:jc w:val="center"/>
        <w:rPr>
          <w:rFonts w:hint="eastAsia" w:ascii="方正小标宋简体" w:eastAsia="方正小标宋简体"/>
          <w:spacing w:val="60"/>
          <w:sz w:val="48"/>
        </w:rPr>
      </w:pPr>
      <w:r>
        <w:rPr>
          <w:rFonts w:hint="eastAsia" w:ascii="方正小标宋简体" w:eastAsia="方正小标宋简体"/>
          <w:spacing w:val="60"/>
          <w:sz w:val="48"/>
        </w:rPr>
        <w:t>名词解释</w:t>
      </w:r>
    </w:p>
    <w:p>
      <w:pPr>
        <w:jc w:val="center"/>
        <w:rPr>
          <w:rFonts w:hint="eastAsia" w:ascii="方正小标宋简体" w:eastAsia="方正小标宋简体"/>
          <w:spacing w:val="60"/>
          <w:sz w:val="48"/>
        </w:rPr>
      </w:pPr>
    </w:p>
    <w:p>
      <w:pPr>
        <w:jc w:val="center"/>
        <w:rPr>
          <w:rFonts w:hint="eastAsia" w:ascii="方正小标宋简体" w:eastAsia="方正小标宋简体"/>
          <w:spacing w:val="60"/>
          <w:sz w:val="48"/>
        </w:rPr>
      </w:pPr>
    </w:p>
    <w:p>
      <w:pPr>
        <w:jc w:val="center"/>
        <w:rPr>
          <w:rFonts w:hint="eastAsia" w:ascii="方正小标宋简体" w:eastAsia="方正小标宋简体"/>
          <w:spacing w:val="60"/>
          <w:sz w:val="48"/>
        </w:rPr>
      </w:pPr>
    </w:p>
    <w:p>
      <w:pPr>
        <w:jc w:val="center"/>
        <w:rPr>
          <w:rFonts w:hint="eastAsia" w:ascii="方正小标宋简体" w:eastAsia="方正小标宋简体"/>
          <w:spacing w:val="60"/>
          <w:sz w:val="48"/>
        </w:rPr>
      </w:pPr>
    </w:p>
    <w:p>
      <w:pPr>
        <w:rPr>
          <w:rFonts w:hint="eastAsia" w:ascii="方正小标宋简体" w:eastAsia="方正小标宋简体"/>
          <w:spacing w:val="60"/>
          <w:sz w:val="48"/>
        </w:rPr>
      </w:pPr>
    </w:p>
    <w:p>
      <w:pPr>
        <w:spacing w:line="580" w:lineRule="exact"/>
        <w:ind w:firstLine="640" w:firstLineChars="200"/>
        <w:rPr>
          <w:rFonts w:ascii="黑体" w:hAnsi="黑体" w:eastAsia="黑体"/>
          <w:color w:val="000000"/>
          <w:szCs w:val="32"/>
        </w:rPr>
        <w:sectPr>
          <w:pgSz w:w="11906" w:h="16838"/>
          <w:pgMar w:top="2041" w:right="1701" w:bottom="2041" w:left="1701" w:header="851" w:footer="992" w:gutter="0"/>
          <w:cols w:space="720" w:num="1"/>
          <w:docGrid w:type="lines" w:linePitch="312" w:charSpace="0"/>
        </w:sectPr>
      </w:pPr>
    </w:p>
    <w:p>
      <w:pPr>
        <w:spacing w:line="580" w:lineRule="exact"/>
        <w:ind w:firstLine="640" w:firstLineChars="200"/>
        <w:rPr>
          <w:rFonts w:hint="eastAsia" w:ascii="仿宋_GB2312" w:eastAsia="仿宋_GB2312"/>
          <w:szCs w:val="32"/>
        </w:rPr>
      </w:pPr>
      <w:r>
        <w:rPr>
          <w:rFonts w:hint="eastAsia" w:ascii="黑体" w:hAnsi="黑体" w:eastAsia="黑体"/>
          <w:color w:val="000000"/>
          <w:szCs w:val="32"/>
        </w:rPr>
        <w:t>一、财政拨款收入：</w:t>
      </w:r>
      <w:r>
        <w:rPr>
          <w:rFonts w:hint="eastAsia" w:ascii="仿宋_GB2312" w:eastAsia="仿宋_GB2312"/>
          <w:szCs w:val="32"/>
        </w:rPr>
        <w:t>指单位本年度从本级财政单位取得的财政拨款，包括一般公共预算财政拨款、政府性基金预算财政拨款和国有资本经营预算财政拨款。</w:t>
      </w:r>
    </w:p>
    <w:p>
      <w:pPr>
        <w:spacing w:line="580" w:lineRule="exact"/>
        <w:ind w:firstLine="640" w:firstLineChars="200"/>
        <w:rPr>
          <w:rFonts w:hint="eastAsia" w:ascii="仿宋_GB2312" w:hAnsi="仿宋" w:eastAsia="仿宋_GB2312"/>
          <w:szCs w:val="32"/>
        </w:rPr>
      </w:pPr>
      <w:r>
        <w:rPr>
          <w:rFonts w:hint="eastAsia" w:ascii="黑体" w:hAnsi="黑体" w:eastAsia="黑体"/>
          <w:szCs w:val="32"/>
        </w:rPr>
        <w:t>二、上级补助收入：</w:t>
      </w:r>
      <w:r>
        <w:rPr>
          <w:rFonts w:hint="eastAsia" w:ascii="仿宋_GB2312" w:hAnsi="仿宋" w:eastAsia="仿宋_GB2312"/>
          <w:szCs w:val="32"/>
        </w:rPr>
        <w:t>指事业单位从主管单位和上级单位取得的非财政补助收入。</w:t>
      </w:r>
    </w:p>
    <w:p>
      <w:pPr>
        <w:spacing w:line="580" w:lineRule="exact"/>
        <w:ind w:firstLine="640" w:firstLineChars="200"/>
        <w:rPr>
          <w:rFonts w:hint="eastAsia" w:ascii="仿宋_GB2312" w:hAnsi="仿宋" w:eastAsia="仿宋_GB2312"/>
          <w:szCs w:val="32"/>
        </w:rPr>
      </w:pPr>
      <w:r>
        <w:rPr>
          <w:rFonts w:hint="eastAsia" w:ascii="黑体" w:hAnsi="黑体" w:eastAsia="黑体"/>
          <w:szCs w:val="32"/>
        </w:rPr>
        <w:t>三、事业收入：</w:t>
      </w:r>
      <w:r>
        <w:rPr>
          <w:rFonts w:hint="eastAsia" w:ascii="仿宋_GB2312" w:hAnsi="仿宋" w:eastAsia="仿宋_GB2312"/>
          <w:szCs w:val="32"/>
        </w:rPr>
        <w:t>指事业单位开展专业业务活动及其辅助活动取得的收入；包括事业单位收到的财政专户实际核拨的教育收费等。</w:t>
      </w:r>
    </w:p>
    <w:p>
      <w:pPr>
        <w:spacing w:line="580" w:lineRule="exact"/>
        <w:ind w:firstLine="640" w:firstLineChars="200"/>
        <w:rPr>
          <w:rFonts w:hint="eastAsia" w:ascii="仿宋_GB2312" w:hAnsi="仿宋" w:eastAsia="仿宋_GB2312"/>
          <w:szCs w:val="32"/>
        </w:rPr>
      </w:pPr>
      <w:r>
        <w:rPr>
          <w:rFonts w:hint="eastAsia" w:ascii="黑体" w:hAnsi="黑体" w:eastAsia="黑体"/>
          <w:szCs w:val="32"/>
        </w:rPr>
        <w:t>四、经营收入：</w:t>
      </w:r>
      <w:r>
        <w:rPr>
          <w:rFonts w:hint="eastAsia" w:ascii="仿宋_GB2312" w:hAnsi="仿宋" w:eastAsia="仿宋_GB2312"/>
          <w:szCs w:val="32"/>
        </w:rPr>
        <w:t>指事业单位在专业业务活动及其辅助活动之外开展非独立核算经营活动取得的收入。</w:t>
      </w:r>
    </w:p>
    <w:p>
      <w:pPr>
        <w:spacing w:line="580" w:lineRule="exact"/>
        <w:ind w:firstLine="640" w:firstLineChars="200"/>
        <w:rPr>
          <w:rFonts w:hint="eastAsia" w:ascii="仿宋_GB2312" w:hAnsi="仿宋" w:eastAsia="仿宋_GB2312"/>
          <w:szCs w:val="32"/>
        </w:rPr>
      </w:pPr>
      <w:r>
        <w:rPr>
          <w:rFonts w:hint="eastAsia" w:ascii="黑体" w:hAnsi="黑体" w:eastAsia="黑体"/>
          <w:szCs w:val="32"/>
        </w:rPr>
        <w:t>五、附属单位上缴收入：</w:t>
      </w:r>
      <w:r>
        <w:rPr>
          <w:rFonts w:hint="eastAsia" w:ascii="仿宋_GB2312" w:hAnsi="仿宋" w:eastAsia="仿宋_GB2312"/>
          <w:szCs w:val="32"/>
        </w:rPr>
        <w:t>指事业单位附属独立核算单位按照有关规定上缴的收入。</w:t>
      </w:r>
    </w:p>
    <w:p>
      <w:pPr>
        <w:spacing w:line="580" w:lineRule="exact"/>
        <w:ind w:firstLine="640" w:firstLineChars="200"/>
        <w:rPr>
          <w:rFonts w:hint="eastAsia" w:ascii="仿宋_GB2312" w:hAnsi="仿宋" w:eastAsia="仿宋_GB2312"/>
          <w:szCs w:val="32"/>
        </w:rPr>
      </w:pPr>
      <w:r>
        <w:rPr>
          <w:rFonts w:hint="eastAsia" w:ascii="黑体" w:hAnsi="黑体" w:eastAsia="黑体"/>
          <w:szCs w:val="32"/>
        </w:rPr>
        <w:t>六、其他收入：</w:t>
      </w:r>
      <w:r>
        <w:rPr>
          <w:rFonts w:hint="eastAsia" w:ascii="仿宋_GB2312" w:hAnsi="仿宋" w:eastAsia="仿宋_GB2312"/>
          <w:szCs w:val="32"/>
        </w:rPr>
        <w:t>指单位取得的除上述“</w:t>
      </w:r>
      <w:r>
        <w:rPr>
          <w:rFonts w:hint="eastAsia" w:ascii="仿宋_GB2312" w:eastAsia="仿宋_GB2312"/>
          <w:szCs w:val="32"/>
        </w:rPr>
        <w:t>财政拨款收入</w:t>
      </w:r>
      <w:r>
        <w:rPr>
          <w:rFonts w:hint="eastAsia" w:ascii="仿宋_GB2312" w:hAnsi="仿宋" w:eastAsia="仿宋_GB2312"/>
          <w:szCs w:val="32"/>
        </w:rPr>
        <w:t>”“上级补助收入”“事业收入”“经营收入”“附属单位上缴收入”等以外的各项收入。</w:t>
      </w:r>
    </w:p>
    <w:p>
      <w:pPr>
        <w:spacing w:line="580" w:lineRule="exact"/>
        <w:ind w:firstLine="640" w:firstLineChars="200"/>
        <w:rPr>
          <w:rFonts w:hint="eastAsia" w:ascii="仿宋_GB2312" w:hAnsi="仿宋" w:eastAsia="仿宋_GB2312"/>
          <w:szCs w:val="32"/>
        </w:rPr>
      </w:pPr>
      <w:r>
        <w:rPr>
          <w:rFonts w:hint="eastAsia" w:ascii="黑体" w:hAnsi="黑体" w:eastAsia="黑体"/>
          <w:szCs w:val="32"/>
        </w:rPr>
        <w:t>七、使用非财政拨款结余：</w:t>
      </w:r>
      <w:r>
        <w:rPr>
          <w:rFonts w:hint="eastAsia" w:ascii="仿宋_GB2312" w:hAnsi="仿宋" w:eastAsia="仿宋_GB2312"/>
          <w:szCs w:val="32"/>
        </w:rPr>
        <w:t>指事业单位按照预算管理要求使用非财政拨款结余弥补收支差额的金额。</w:t>
      </w:r>
    </w:p>
    <w:p>
      <w:pPr>
        <w:spacing w:line="580" w:lineRule="exact"/>
        <w:ind w:firstLine="640" w:firstLineChars="200"/>
        <w:rPr>
          <w:rFonts w:hint="eastAsia" w:ascii="仿宋_GB2312" w:eastAsia="仿宋_GB2312"/>
          <w:szCs w:val="32"/>
        </w:rPr>
      </w:pPr>
      <w:r>
        <w:rPr>
          <w:rFonts w:hint="eastAsia" w:ascii="黑体" w:hAnsi="黑体" w:eastAsia="黑体"/>
          <w:szCs w:val="32"/>
        </w:rPr>
        <w:t>八、年初结转和结余：</w:t>
      </w:r>
      <w:r>
        <w:rPr>
          <w:rFonts w:hint="eastAsia" w:ascii="仿宋_GB2312" w:eastAsia="仿宋_GB2312"/>
          <w:szCs w:val="32"/>
        </w:rPr>
        <w:t>指单位以前年度尚未完成、结转到本年仍按原规定用途继续使用的资金，或项目已完成等产生的结余资金。</w:t>
      </w:r>
    </w:p>
    <w:p>
      <w:pPr>
        <w:spacing w:line="580" w:lineRule="exact"/>
        <w:ind w:firstLine="640" w:firstLineChars="200"/>
        <w:rPr>
          <w:rFonts w:hint="eastAsia" w:ascii="仿宋_GB2312" w:eastAsia="仿宋_GB2312"/>
          <w:szCs w:val="32"/>
        </w:rPr>
      </w:pPr>
      <w:r>
        <w:rPr>
          <w:rFonts w:hint="eastAsia" w:ascii="黑体" w:hAnsi="黑体" w:eastAsia="黑体"/>
          <w:szCs w:val="32"/>
        </w:rPr>
        <w:t>九、结余分配：</w:t>
      </w:r>
      <w:r>
        <w:rPr>
          <w:rFonts w:hint="eastAsia" w:ascii="仿宋_GB2312" w:eastAsia="仿宋_GB2312"/>
          <w:szCs w:val="32"/>
        </w:rPr>
        <w:t>指事业单位缴纳的所得税以及从非财政拨款结余或经营结余中提取的各类结余。</w:t>
      </w:r>
    </w:p>
    <w:p>
      <w:pPr>
        <w:spacing w:line="580" w:lineRule="exact"/>
        <w:ind w:firstLine="640" w:firstLineChars="200"/>
        <w:rPr>
          <w:rFonts w:hint="eastAsia" w:ascii="仿宋_GB2312" w:hAnsi="仿宋" w:eastAsia="仿宋_GB2312"/>
          <w:szCs w:val="32"/>
        </w:rPr>
      </w:pPr>
      <w:r>
        <w:rPr>
          <w:rFonts w:hint="eastAsia" w:ascii="黑体" w:hAnsi="黑体" w:eastAsia="黑体"/>
          <w:szCs w:val="32"/>
        </w:rPr>
        <w:t>十、年末结转和结余：</w:t>
      </w:r>
      <w:r>
        <w:rPr>
          <w:rFonts w:hint="eastAsia" w:ascii="仿宋_GB2312" w:hAnsi="仿宋" w:eastAsia="仿宋_GB2312"/>
          <w:szCs w:val="32"/>
        </w:rPr>
        <w:t>指单位本年度或以前年度预算安排、因客观条件发生变化未全部执行或未执行，结转到以后年度继续使用的资金，或项目已完成等产生的结余资金。</w:t>
      </w:r>
    </w:p>
    <w:p>
      <w:pPr>
        <w:spacing w:line="580" w:lineRule="exact"/>
        <w:ind w:firstLine="640" w:firstLineChars="200"/>
        <w:rPr>
          <w:rFonts w:hint="eastAsia" w:ascii="仿宋_GB2312" w:eastAsia="仿宋_GB2312"/>
          <w:szCs w:val="32"/>
        </w:rPr>
      </w:pPr>
      <w:r>
        <w:rPr>
          <w:rFonts w:hint="eastAsia" w:ascii="黑体" w:hAnsi="黑体" w:eastAsia="黑体"/>
          <w:szCs w:val="32"/>
        </w:rPr>
        <w:t>十一、基本支出：</w:t>
      </w:r>
      <w:r>
        <w:rPr>
          <w:rFonts w:hint="eastAsia" w:ascii="仿宋_GB2312" w:eastAsia="仿宋_GB2312"/>
          <w:szCs w:val="32"/>
        </w:rPr>
        <w:t>指单位为保障机构正常运转、完成日常工作任务而发生的各项支出。</w:t>
      </w:r>
    </w:p>
    <w:p>
      <w:pPr>
        <w:spacing w:line="580" w:lineRule="exact"/>
        <w:ind w:firstLine="640" w:firstLineChars="200"/>
        <w:rPr>
          <w:rFonts w:hint="eastAsia" w:ascii="仿宋_GB2312" w:eastAsia="仿宋_GB2312"/>
          <w:szCs w:val="32"/>
        </w:rPr>
      </w:pPr>
      <w:r>
        <w:rPr>
          <w:rFonts w:hint="eastAsia" w:ascii="黑体" w:hAnsi="黑体" w:eastAsia="黑体"/>
          <w:szCs w:val="32"/>
        </w:rPr>
        <w:t>十二、项目支出：</w:t>
      </w:r>
      <w:r>
        <w:rPr>
          <w:rFonts w:hint="eastAsia" w:ascii="仿宋_GB2312" w:eastAsia="仿宋_GB2312"/>
          <w:szCs w:val="32"/>
        </w:rPr>
        <w:t>指单位为完成特定的行政工作任务或事业发展目标，在基本支出之外发生的各项支出。</w:t>
      </w:r>
    </w:p>
    <w:p>
      <w:pPr>
        <w:spacing w:line="580" w:lineRule="exact"/>
        <w:ind w:firstLine="640" w:firstLineChars="200"/>
        <w:rPr>
          <w:rFonts w:hint="eastAsia" w:ascii="仿宋_GB2312" w:eastAsia="仿宋_GB2312"/>
          <w:szCs w:val="32"/>
        </w:rPr>
      </w:pPr>
      <w:r>
        <w:rPr>
          <w:rFonts w:hint="eastAsia" w:ascii="黑体" w:hAnsi="黑体" w:eastAsia="黑体"/>
          <w:szCs w:val="32"/>
        </w:rPr>
        <w:t>十三、经营支出：</w:t>
      </w:r>
      <w:r>
        <w:rPr>
          <w:rFonts w:hint="eastAsia" w:ascii="仿宋_GB2312" w:eastAsia="仿宋_GB2312"/>
          <w:szCs w:val="32"/>
        </w:rPr>
        <w:t>指事业单位在专业业务活动及其辅助活动之外开展非独立核算经营活动发生的支出。</w:t>
      </w:r>
    </w:p>
    <w:p>
      <w:pPr>
        <w:spacing w:line="580" w:lineRule="exact"/>
        <w:ind w:firstLine="640" w:firstLineChars="200"/>
        <w:rPr>
          <w:rFonts w:hint="eastAsia" w:ascii="仿宋_GB2312" w:eastAsia="仿宋_GB2312"/>
          <w:szCs w:val="32"/>
        </w:rPr>
      </w:pPr>
      <w:r>
        <w:rPr>
          <w:rFonts w:hint="eastAsia" w:ascii="黑体" w:hAnsi="黑体" w:eastAsia="黑体"/>
          <w:szCs w:val="32"/>
        </w:rPr>
        <w:t>十四、“三公”经费：</w:t>
      </w:r>
      <w:r>
        <w:rPr>
          <w:rFonts w:hint="eastAsia" w:ascii="仿宋_GB2312" w:eastAsia="仿宋_GB2312"/>
          <w:szCs w:val="32"/>
        </w:rPr>
        <w:t>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按规定保留的公务用车燃料费、维修费、过桥过路费、保险费、安全奖励费用等支出；公务接待费反映单位按规定开支的各类公务接待（含外宾接待）支出。</w:t>
      </w:r>
    </w:p>
    <w:p>
      <w:pPr>
        <w:spacing w:line="580" w:lineRule="exact"/>
        <w:ind w:firstLine="640" w:firstLineChars="200"/>
        <w:rPr>
          <w:rFonts w:hint="eastAsia" w:ascii="仿宋_GB2312" w:eastAsia="仿宋_GB2312"/>
          <w:szCs w:val="32"/>
        </w:rPr>
      </w:pPr>
      <w:r>
        <w:rPr>
          <w:rFonts w:hint="eastAsia" w:ascii="黑体" w:hAnsi="黑体" w:eastAsia="黑体"/>
          <w:szCs w:val="32"/>
        </w:rPr>
        <w:t>十五、机关运行经费：</w:t>
      </w:r>
      <w:r>
        <w:rPr>
          <w:rFonts w:hint="eastAsia" w:ascii="仿宋_GB2312" w:eastAsia="仿宋_GB2312"/>
          <w:szCs w:val="32"/>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80" w:lineRule="exact"/>
        <w:ind w:firstLine="640" w:firstLineChars="200"/>
        <w:rPr>
          <w:rFonts w:hint="eastAsia" w:ascii="仿宋_GB2312" w:hAnsi="黑体" w:eastAsia="仿宋_GB2312"/>
          <w:szCs w:val="32"/>
        </w:rPr>
      </w:pPr>
      <w:r>
        <w:rPr>
          <w:rFonts w:hint="eastAsia" w:ascii="黑体" w:hAnsi="黑体" w:eastAsia="黑体"/>
          <w:szCs w:val="32"/>
        </w:rPr>
        <w:t>十六、一般公共服务支出（类）财政事务（款）行政运行（项）：</w:t>
      </w:r>
      <w:r>
        <w:rPr>
          <w:rFonts w:hint="eastAsia" w:ascii="仿宋_GB2312" w:eastAsia="仿宋_GB2312"/>
          <w:szCs w:val="32"/>
        </w:rPr>
        <w:t>反映行政单位（包括实行公务员管理的事业单位）的基本支出。</w:t>
      </w:r>
    </w:p>
    <w:p>
      <w:pPr>
        <w:spacing w:line="580" w:lineRule="exact"/>
        <w:ind w:firstLine="640" w:firstLineChars="200"/>
        <w:rPr>
          <w:rFonts w:hint="eastAsia" w:ascii="仿宋_GB2312" w:hAnsi="黑体" w:eastAsia="仿宋_GB2312"/>
          <w:szCs w:val="32"/>
        </w:rPr>
      </w:pPr>
      <w:r>
        <w:rPr>
          <w:rFonts w:hint="eastAsia" w:ascii="黑体" w:hAnsi="黑体" w:eastAsia="黑体"/>
          <w:szCs w:val="32"/>
        </w:rPr>
        <w:t>十七、一般公共服务支出（类）财政事务（款）一般行政管理事务（项）：</w:t>
      </w:r>
      <w:r>
        <w:rPr>
          <w:rFonts w:hint="eastAsia" w:ascii="仿宋_GB2312" w:eastAsia="仿宋_GB2312"/>
          <w:szCs w:val="32"/>
        </w:rPr>
        <w:t>反映行政单位（包括实行公务员管理的事业单位）未单独设置项级科目的其他项目支出。</w:t>
      </w:r>
    </w:p>
    <w:p>
      <w:pPr>
        <w:spacing w:line="580" w:lineRule="exact"/>
        <w:ind w:firstLine="643" w:firstLineChars="200"/>
        <w:rPr>
          <w:rFonts w:hint="eastAsia" w:ascii="仿宋_GB2312" w:eastAsia="仿宋_GB2312"/>
          <w:b/>
          <w:szCs w:val="32"/>
          <w:highlight w:val="lightGray"/>
        </w:rPr>
      </w:pPr>
    </w:p>
    <w:p>
      <w:pPr>
        <w:spacing w:line="580" w:lineRule="exact"/>
        <w:ind w:firstLine="540" w:firstLineChars="100"/>
        <w:rPr>
          <w:rFonts w:hint="eastAsia" w:ascii="方正小标宋简体" w:eastAsia="方正小标宋简体"/>
          <w:spacing w:val="60"/>
          <w:sz w:val="42"/>
        </w:rPr>
      </w:pPr>
    </w:p>
    <w:p>
      <w:pPr>
        <w:spacing w:line="580" w:lineRule="exact"/>
        <w:ind w:firstLine="542" w:firstLineChars="100"/>
        <w:rPr>
          <w:rFonts w:ascii="方正小标宋简体" w:eastAsia="方正小标宋简体"/>
          <w:b/>
          <w:spacing w:val="60"/>
          <w:sz w:val="42"/>
        </w:rPr>
      </w:pPr>
    </w:p>
    <w:p>
      <w:pPr>
        <w:spacing w:line="580" w:lineRule="exact"/>
        <w:ind w:firstLine="540" w:firstLineChars="100"/>
        <w:rPr>
          <w:rFonts w:ascii="方正小标宋简体" w:eastAsia="方正小标宋简体"/>
          <w:spacing w:val="60"/>
          <w:sz w:val="42"/>
        </w:rPr>
      </w:pPr>
    </w:p>
    <w:p>
      <w:pPr>
        <w:rPr>
          <w:rFonts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ascii="方正小标宋简体" w:eastAsia="方正小标宋简体"/>
          <w:spacing w:val="60"/>
          <w:sz w:val="42"/>
        </w:rPr>
        <w:sectPr>
          <w:pgSz w:w="11906" w:h="16838"/>
          <w:pgMar w:top="2098" w:right="1418" w:bottom="1871" w:left="1531" w:header="851" w:footer="992" w:gutter="0"/>
          <w:cols w:space="720" w:num="1"/>
          <w:docGrid w:type="lines" w:linePitch="435" w:charSpace="0"/>
        </w:sectPr>
      </w:pPr>
    </w:p>
    <w:p>
      <w:pPr>
        <w:spacing w:line="400" w:lineRule="exact"/>
        <w:jc w:val="left"/>
        <w:rPr>
          <w:rFonts w:ascii="仿宋_GB2312" w:hAnsi="宋体" w:eastAsia="仿宋_GB2312"/>
          <w:sz w:val="28"/>
          <w:szCs w:val="28"/>
          <w:lang w:val="zh-CN"/>
        </w:rPr>
      </w:pPr>
    </w:p>
    <w:sectPr>
      <w:pgSz w:w="16838" w:h="11906" w:orient="landscape"/>
      <w:pgMar w:top="1531" w:right="2098" w:bottom="1418" w:left="1871"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文星简仿宋">
    <w:altName w:val="仿宋"/>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73745"/>
    <w:multiLevelType w:val="singleLevel"/>
    <w:tmpl w:val="EBE73745"/>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YzNDNlZDNiMmFiZjAxZDg5ODIxNTcyZjY5ZTIzMGYifQ=="/>
  </w:docVars>
  <w:rsids>
    <w:rsidRoot w:val="00172A27"/>
    <w:rsid w:val="0000396E"/>
    <w:rsid w:val="000051C9"/>
    <w:rsid w:val="000054CC"/>
    <w:rsid w:val="00010EE4"/>
    <w:rsid w:val="00011A23"/>
    <w:rsid w:val="00011E23"/>
    <w:rsid w:val="0001550E"/>
    <w:rsid w:val="000254F5"/>
    <w:rsid w:val="00026CA6"/>
    <w:rsid w:val="0002779D"/>
    <w:rsid w:val="000316F7"/>
    <w:rsid w:val="000327A9"/>
    <w:rsid w:val="00032920"/>
    <w:rsid w:val="0003466B"/>
    <w:rsid w:val="00036864"/>
    <w:rsid w:val="000368A1"/>
    <w:rsid w:val="00037DDA"/>
    <w:rsid w:val="0004120A"/>
    <w:rsid w:val="00042165"/>
    <w:rsid w:val="0004356C"/>
    <w:rsid w:val="00046FC3"/>
    <w:rsid w:val="000471DF"/>
    <w:rsid w:val="00050C15"/>
    <w:rsid w:val="00050D25"/>
    <w:rsid w:val="00052EFB"/>
    <w:rsid w:val="00053AB6"/>
    <w:rsid w:val="00054331"/>
    <w:rsid w:val="00056332"/>
    <w:rsid w:val="00057D13"/>
    <w:rsid w:val="000614FD"/>
    <w:rsid w:val="00064F2A"/>
    <w:rsid w:val="00066B73"/>
    <w:rsid w:val="00070C8F"/>
    <w:rsid w:val="000716A4"/>
    <w:rsid w:val="00071966"/>
    <w:rsid w:val="00073B4C"/>
    <w:rsid w:val="0008024B"/>
    <w:rsid w:val="00081A93"/>
    <w:rsid w:val="000820E1"/>
    <w:rsid w:val="000830CE"/>
    <w:rsid w:val="0008333B"/>
    <w:rsid w:val="00083BFB"/>
    <w:rsid w:val="00084F74"/>
    <w:rsid w:val="00086A39"/>
    <w:rsid w:val="00086E32"/>
    <w:rsid w:val="000875CD"/>
    <w:rsid w:val="0008760C"/>
    <w:rsid w:val="00087CBE"/>
    <w:rsid w:val="00093717"/>
    <w:rsid w:val="00094090"/>
    <w:rsid w:val="000950AD"/>
    <w:rsid w:val="00095C8B"/>
    <w:rsid w:val="0009684C"/>
    <w:rsid w:val="00096D61"/>
    <w:rsid w:val="000A4003"/>
    <w:rsid w:val="000A4D44"/>
    <w:rsid w:val="000B16B3"/>
    <w:rsid w:val="000B216D"/>
    <w:rsid w:val="000B2A1D"/>
    <w:rsid w:val="000B2A9D"/>
    <w:rsid w:val="000B329E"/>
    <w:rsid w:val="000B4533"/>
    <w:rsid w:val="000B62E0"/>
    <w:rsid w:val="000B7BEE"/>
    <w:rsid w:val="000C0F84"/>
    <w:rsid w:val="000C3FFF"/>
    <w:rsid w:val="000C5813"/>
    <w:rsid w:val="000D0AEC"/>
    <w:rsid w:val="000D1248"/>
    <w:rsid w:val="000D219C"/>
    <w:rsid w:val="000D2AEF"/>
    <w:rsid w:val="000D5A5F"/>
    <w:rsid w:val="000E3FFA"/>
    <w:rsid w:val="000E4218"/>
    <w:rsid w:val="000F0028"/>
    <w:rsid w:val="000F14FD"/>
    <w:rsid w:val="000F20AA"/>
    <w:rsid w:val="000F2950"/>
    <w:rsid w:val="000F40F1"/>
    <w:rsid w:val="000F53DF"/>
    <w:rsid w:val="000F797A"/>
    <w:rsid w:val="0010076A"/>
    <w:rsid w:val="001068B7"/>
    <w:rsid w:val="00110FFF"/>
    <w:rsid w:val="001127C5"/>
    <w:rsid w:val="001130A1"/>
    <w:rsid w:val="0011406B"/>
    <w:rsid w:val="0011436E"/>
    <w:rsid w:val="00114A8B"/>
    <w:rsid w:val="0011784D"/>
    <w:rsid w:val="001217FF"/>
    <w:rsid w:val="00123414"/>
    <w:rsid w:val="00124656"/>
    <w:rsid w:val="0012551C"/>
    <w:rsid w:val="00130C3A"/>
    <w:rsid w:val="001319FA"/>
    <w:rsid w:val="00131F72"/>
    <w:rsid w:val="00131F88"/>
    <w:rsid w:val="00135941"/>
    <w:rsid w:val="00137B81"/>
    <w:rsid w:val="0014113E"/>
    <w:rsid w:val="00142C23"/>
    <w:rsid w:val="00143419"/>
    <w:rsid w:val="001447E6"/>
    <w:rsid w:val="00146927"/>
    <w:rsid w:val="00156430"/>
    <w:rsid w:val="001609DF"/>
    <w:rsid w:val="0016333C"/>
    <w:rsid w:val="00163840"/>
    <w:rsid w:val="00164D8E"/>
    <w:rsid w:val="0016752D"/>
    <w:rsid w:val="00167D8B"/>
    <w:rsid w:val="00173622"/>
    <w:rsid w:val="001744FD"/>
    <w:rsid w:val="001779FA"/>
    <w:rsid w:val="001806E9"/>
    <w:rsid w:val="0018190E"/>
    <w:rsid w:val="00182B84"/>
    <w:rsid w:val="00182E3E"/>
    <w:rsid w:val="001901AA"/>
    <w:rsid w:val="00191D94"/>
    <w:rsid w:val="00192220"/>
    <w:rsid w:val="001926FA"/>
    <w:rsid w:val="00192C75"/>
    <w:rsid w:val="00192DBA"/>
    <w:rsid w:val="00196B03"/>
    <w:rsid w:val="001A0D7C"/>
    <w:rsid w:val="001A3116"/>
    <w:rsid w:val="001A51F6"/>
    <w:rsid w:val="001A62C9"/>
    <w:rsid w:val="001B1D17"/>
    <w:rsid w:val="001B2B8E"/>
    <w:rsid w:val="001B39D5"/>
    <w:rsid w:val="001B5ED8"/>
    <w:rsid w:val="001C06F6"/>
    <w:rsid w:val="001C1F7C"/>
    <w:rsid w:val="001C5227"/>
    <w:rsid w:val="001C5232"/>
    <w:rsid w:val="001D121F"/>
    <w:rsid w:val="001D6856"/>
    <w:rsid w:val="001D6B45"/>
    <w:rsid w:val="001D772B"/>
    <w:rsid w:val="001E1804"/>
    <w:rsid w:val="001E1CB0"/>
    <w:rsid w:val="001E5194"/>
    <w:rsid w:val="001E524F"/>
    <w:rsid w:val="001E6D89"/>
    <w:rsid w:val="001E781F"/>
    <w:rsid w:val="001F226D"/>
    <w:rsid w:val="001F2A13"/>
    <w:rsid w:val="001F3816"/>
    <w:rsid w:val="001F6A36"/>
    <w:rsid w:val="00200FFD"/>
    <w:rsid w:val="0020145C"/>
    <w:rsid w:val="0020577D"/>
    <w:rsid w:val="00210081"/>
    <w:rsid w:val="00210983"/>
    <w:rsid w:val="00212B79"/>
    <w:rsid w:val="00213166"/>
    <w:rsid w:val="002153BC"/>
    <w:rsid w:val="00216FF8"/>
    <w:rsid w:val="002178AA"/>
    <w:rsid w:val="00220024"/>
    <w:rsid w:val="00220711"/>
    <w:rsid w:val="00220DCC"/>
    <w:rsid w:val="00221B90"/>
    <w:rsid w:val="00222033"/>
    <w:rsid w:val="002241A2"/>
    <w:rsid w:val="002247C1"/>
    <w:rsid w:val="002258A6"/>
    <w:rsid w:val="002264BC"/>
    <w:rsid w:val="00227A86"/>
    <w:rsid w:val="00227D74"/>
    <w:rsid w:val="00232DA0"/>
    <w:rsid w:val="00233412"/>
    <w:rsid w:val="002338C6"/>
    <w:rsid w:val="00236615"/>
    <w:rsid w:val="00237324"/>
    <w:rsid w:val="002410F0"/>
    <w:rsid w:val="00242F14"/>
    <w:rsid w:val="002445E3"/>
    <w:rsid w:val="002448F9"/>
    <w:rsid w:val="0024752A"/>
    <w:rsid w:val="002506F5"/>
    <w:rsid w:val="00251E4A"/>
    <w:rsid w:val="002531F5"/>
    <w:rsid w:val="00254B3E"/>
    <w:rsid w:val="00254C53"/>
    <w:rsid w:val="0025593F"/>
    <w:rsid w:val="00255C8A"/>
    <w:rsid w:val="0026316A"/>
    <w:rsid w:val="00265320"/>
    <w:rsid w:val="00272225"/>
    <w:rsid w:val="00272E81"/>
    <w:rsid w:val="00273B75"/>
    <w:rsid w:val="00273E2B"/>
    <w:rsid w:val="00274377"/>
    <w:rsid w:val="002764B1"/>
    <w:rsid w:val="00276D96"/>
    <w:rsid w:val="00280994"/>
    <w:rsid w:val="00280FDB"/>
    <w:rsid w:val="00281303"/>
    <w:rsid w:val="0028239F"/>
    <w:rsid w:val="002824CD"/>
    <w:rsid w:val="00284D4C"/>
    <w:rsid w:val="00284E99"/>
    <w:rsid w:val="0028511A"/>
    <w:rsid w:val="002963ED"/>
    <w:rsid w:val="002A16FB"/>
    <w:rsid w:val="002A1EA4"/>
    <w:rsid w:val="002A231D"/>
    <w:rsid w:val="002A259B"/>
    <w:rsid w:val="002A62A3"/>
    <w:rsid w:val="002A7A53"/>
    <w:rsid w:val="002B2A69"/>
    <w:rsid w:val="002B2CD0"/>
    <w:rsid w:val="002B364D"/>
    <w:rsid w:val="002C2837"/>
    <w:rsid w:val="002C474C"/>
    <w:rsid w:val="002C6723"/>
    <w:rsid w:val="002D15CA"/>
    <w:rsid w:val="002D221C"/>
    <w:rsid w:val="002D2695"/>
    <w:rsid w:val="002E3720"/>
    <w:rsid w:val="002E529A"/>
    <w:rsid w:val="002E61FA"/>
    <w:rsid w:val="002E73C1"/>
    <w:rsid w:val="002F2F44"/>
    <w:rsid w:val="002F565C"/>
    <w:rsid w:val="002F5A12"/>
    <w:rsid w:val="002F63E3"/>
    <w:rsid w:val="002F678D"/>
    <w:rsid w:val="002F764D"/>
    <w:rsid w:val="00303490"/>
    <w:rsid w:val="003060BB"/>
    <w:rsid w:val="003109E8"/>
    <w:rsid w:val="00310EE2"/>
    <w:rsid w:val="00313828"/>
    <w:rsid w:val="00316544"/>
    <w:rsid w:val="00316546"/>
    <w:rsid w:val="00322777"/>
    <w:rsid w:val="00322F2F"/>
    <w:rsid w:val="00324E0B"/>
    <w:rsid w:val="00326F7A"/>
    <w:rsid w:val="00327F0B"/>
    <w:rsid w:val="003335C5"/>
    <w:rsid w:val="00334FDD"/>
    <w:rsid w:val="00337245"/>
    <w:rsid w:val="0033792D"/>
    <w:rsid w:val="003403C8"/>
    <w:rsid w:val="003403FC"/>
    <w:rsid w:val="0034359F"/>
    <w:rsid w:val="003462C7"/>
    <w:rsid w:val="0034631F"/>
    <w:rsid w:val="00346BA6"/>
    <w:rsid w:val="00347EF3"/>
    <w:rsid w:val="00347F03"/>
    <w:rsid w:val="00350689"/>
    <w:rsid w:val="00350862"/>
    <w:rsid w:val="00350B68"/>
    <w:rsid w:val="00352120"/>
    <w:rsid w:val="003542B6"/>
    <w:rsid w:val="00356CBE"/>
    <w:rsid w:val="00357344"/>
    <w:rsid w:val="003577CB"/>
    <w:rsid w:val="00357815"/>
    <w:rsid w:val="003578AA"/>
    <w:rsid w:val="00360F6F"/>
    <w:rsid w:val="0036295C"/>
    <w:rsid w:val="003655D7"/>
    <w:rsid w:val="00371BC7"/>
    <w:rsid w:val="00371CC6"/>
    <w:rsid w:val="00373F56"/>
    <w:rsid w:val="00374C3A"/>
    <w:rsid w:val="00377F07"/>
    <w:rsid w:val="003867E9"/>
    <w:rsid w:val="003868BA"/>
    <w:rsid w:val="00391DC0"/>
    <w:rsid w:val="00392602"/>
    <w:rsid w:val="00392E4C"/>
    <w:rsid w:val="00394C25"/>
    <w:rsid w:val="00396433"/>
    <w:rsid w:val="003A3189"/>
    <w:rsid w:val="003A547D"/>
    <w:rsid w:val="003B1547"/>
    <w:rsid w:val="003B31CE"/>
    <w:rsid w:val="003B47B9"/>
    <w:rsid w:val="003B527E"/>
    <w:rsid w:val="003B538C"/>
    <w:rsid w:val="003B55A7"/>
    <w:rsid w:val="003B57F4"/>
    <w:rsid w:val="003B758D"/>
    <w:rsid w:val="003B7662"/>
    <w:rsid w:val="003B7EAD"/>
    <w:rsid w:val="003C1BDE"/>
    <w:rsid w:val="003C21A0"/>
    <w:rsid w:val="003C3553"/>
    <w:rsid w:val="003C37AC"/>
    <w:rsid w:val="003C3ABC"/>
    <w:rsid w:val="003C6790"/>
    <w:rsid w:val="003C7AD0"/>
    <w:rsid w:val="003D05B7"/>
    <w:rsid w:val="003D103D"/>
    <w:rsid w:val="003D6BBF"/>
    <w:rsid w:val="003D7542"/>
    <w:rsid w:val="003E3A3D"/>
    <w:rsid w:val="003E4AAF"/>
    <w:rsid w:val="003E6CE5"/>
    <w:rsid w:val="003F07F4"/>
    <w:rsid w:val="003F228F"/>
    <w:rsid w:val="003F27FF"/>
    <w:rsid w:val="003F29E4"/>
    <w:rsid w:val="003F2F93"/>
    <w:rsid w:val="003F4B1C"/>
    <w:rsid w:val="003F6474"/>
    <w:rsid w:val="003F6E93"/>
    <w:rsid w:val="004002DB"/>
    <w:rsid w:val="00401597"/>
    <w:rsid w:val="004037FB"/>
    <w:rsid w:val="00405479"/>
    <w:rsid w:val="004057DF"/>
    <w:rsid w:val="00405F7F"/>
    <w:rsid w:val="00407499"/>
    <w:rsid w:val="00407B7F"/>
    <w:rsid w:val="0041442B"/>
    <w:rsid w:val="00416766"/>
    <w:rsid w:val="00417FD0"/>
    <w:rsid w:val="00424863"/>
    <w:rsid w:val="004259B8"/>
    <w:rsid w:val="004264D7"/>
    <w:rsid w:val="00426E2C"/>
    <w:rsid w:val="004328B8"/>
    <w:rsid w:val="00434A28"/>
    <w:rsid w:val="004411DC"/>
    <w:rsid w:val="00441892"/>
    <w:rsid w:val="004432F9"/>
    <w:rsid w:val="004469C7"/>
    <w:rsid w:val="00447483"/>
    <w:rsid w:val="004520E4"/>
    <w:rsid w:val="0045295F"/>
    <w:rsid w:val="004603F4"/>
    <w:rsid w:val="00461625"/>
    <w:rsid w:val="004628D2"/>
    <w:rsid w:val="00462E90"/>
    <w:rsid w:val="00465029"/>
    <w:rsid w:val="00467CB1"/>
    <w:rsid w:val="00470580"/>
    <w:rsid w:val="00470DF5"/>
    <w:rsid w:val="004742C3"/>
    <w:rsid w:val="004756A3"/>
    <w:rsid w:val="00475D3C"/>
    <w:rsid w:val="00475E3F"/>
    <w:rsid w:val="00483F84"/>
    <w:rsid w:val="00486839"/>
    <w:rsid w:val="00492BC7"/>
    <w:rsid w:val="004937DB"/>
    <w:rsid w:val="00493B6B"/>
    <w:rsid w:val="00494878"/>
    <w:rsid w:val="004A06E6"/>
    <w:rsid w:val="004A11AC"/>
    <w:rsid w:val="004A13E8"/>
    <w:rsid w:val="004A1F17"/>
    <w:rsid w:val="004A34B2"/>
    <w:rsid w:val="004A3C2B"/>
    <w:rsid w:val="004B1369"/>
    <w:rsid w:val="004B3580"/>
    <w:rsid w:val="004B69D1"/>
    <w:rsid w:val="004B78A6"/>
    <w:rsid w:val="004B7EA8"/>
    <w:rsid w:val="004C09C5"/>
    <w:rsid w:val="004C1DFB"/>
    <w:rsid w:val="004C3A39"/>
    <w:rsid w:val="004C635A"/>
    <w:rsid w:val="004C714C"/>
    <w:rsid w:val="004D0ECD"/>
    <w:rsid w:val="004D6A2F"/>
    <w:rsid w:val="004D775B"/>
    <w:rsid w:val="004E2002"/>
    <w:rsid w:val="004E2573"/>
    <w:rsid w:val="004E2F34"/>
    <w:rsid w:val="004E417B"/>
    <w:rsid w:val="004E4949"/>
    <w:rsid w:val="004E6055"/>
    <w:rsid w:val="004E6E42"/>
    <w:rsid w:val="004F020F"/>
    <w:rsid w:val="004F5755"/>
    <w:rsid w:val="00501856"/>
    <w:rsid w:val="00501A31"/>
    <w:rsid w:val="00501A4E"/>
    <w:rsid w:val="005020A5"/>
    <w:rsid w:val="005024FE"/>
    <w:rsid w:val="00503587"/>
    <w:rsid w:val="0050370E"/>
    <w:rsid w:val="005037D5"/>
    <w:rsid w:val="00503CA4"/>
    <w:rsid w:val="005043E7"/>
    <w:rsid w:val="005052E8"/>
    <w:rsid w:val="005057EA"/>
    <w:rsid w:val="00505CE2"/>
    <w:rsid w:val="00512AC4"/>
    <w:rsid w:val="005131A4"/>
    <w:rsid w:val="00513DCC"/>
    <w:rsid w:val="00514ABB"/>
    <w:rsid w:val="005159B6"/>
    <w:rsid w:val="005166E1"/>
    <w:rsid w:val="00520AA8"/>
    <w:rsid w:val="00520F1F"/>
    <w:rsid w:val="0052106D"/>
    <w:rsid w:val="005222FB"/>
    <w:rsid w:val="00522784"/>
    <w:rsid w:val="00523A46"/>
    <w:rsid w:val="00525DA1"/>
    <w:rsid w:val="005268A7"/>
    <w:rsid w:val="00527A51"/>
    <w:rsid w:val="0053025B"/>
    <w:rsid w:val="00531719"/>
    <w:rsid w:val="0053232B"/>
    <w:rsid w:val="005346CC"/>
    <w:rsid w:val="005356D2"/>
    <w:rsid w:val="005401D2"/>
    <w:rsid w:val="00540603"/>
    <w:rsid w:val="00540AD6"/>
    <w:rsid w:val="00542F2B"/>
    <w:rsid w:val="00543C8E"/>
    <w:rsid w:val="00543DAD"/>
    <w:rsid w:val="00545D5D"/>
    <w:rsid w:val="0054719B"/>
    <w:rsid w:val="005503A4"/>
    <w:rsid w:val="00553951"/>
    <w:rsid w:val="00556E9E"/>
    <w:rsid w:val="00560134"/>
    <w:rsid w:val="005639DA"/>
    <w:rsid w:val="005639FF"/>
    <w:rsid w:val="0056671C"/>
    <w:rsid w:val="00567B1C"/>
    <w:rsid w:val="005739EF"/>
    <w:rsid w:val="00574881"/>
    <w:rsid w:val="00580CBD"/>
    <w:rsid w:val="0058210F"/>
    <w:rsid w:val="0058268B"/>
    <w:rsid w:val="0058617C"/>
    <w:rsid w:val="005865DD"/>
    <w:rsid w:val="00591C85"/>
    <w:rsid w:val="00592DDD"/>
    <w:rsid w:val="00596B4F"/>
    <w:rsid w:val="005A3C5A"/>
    <w:rsid w:val="005A646E"/>
    <w:rsid w:val="005B0576"/>
    <w:rsid w:val="005B07FD"/>
    <w:rsid w:val="005B17D3"/>
    <w:rsid w:val="005C0170"/>
    <w:rsid w:val="005C213A"/>
    <w:rsid w:val="005C3417"/>
    <w:rsid w:val="005C44CB"/>
    <w:rsid w:val="005C5ECB"/>
    <w:rsid w:val="005C7AE7"/>
    <w:rsid w:val="005D19FC"/>
    <w:rsid w:val="005D1F85"/>
    <w:rsid w:val="005D34CC"/>
    <w:rsid w:val="005E0229"/>
    <w:rsid w:val="005E06F3"/>
    <w:rsid w:val="005E1E31"/>
    <w:rsid w:val="005E25DB"/>
    <w:rsid w:val="005E4A33"/>
    <w:rsid w:val="005E4E40"/>
    <w:rsid w:val="005E50CC"/>
    <w:rsid w:val="005F0C63"/>
    <w:rsid w:val="005F2454"/>
    <w:rsid w:val="005F4A92"/>
    <w:rsid w:val="005F500E"/>
    <w:rsid w:val="005F5439"/>
    <w:rsid w:val="006001DA"/>
    <w:rsid w:val="00601EBB"/>
    <w:rsid w:val="0060206B"/>
    <w:rsid w:val="00602B37"/>
    <w:rsid w:val="00602F17"/>
    <w:rsid w:val="00604699"/>
    <w:rsid w:val="00605279"/>
    <w:rsid w:val="006139B9"/>
    <w:rsid w:val="00614813"/>
    <w:rsid w:val="00616428"/>
    <w:rsid w:val="00620F68"/>
    <w:rsid w:val="006211FA"/>
    <w:rsid w:val="0062225D"/>
    <w:rsid w:val="0062233A"/>
    <w:rsid w:val="0062313A"/>
    <w:rsid w:val="00623AFF"/>
    <w:rsid w:val="00624998"/>
    <w:rsid w:val="00625941"/>
    <w:rsid w:val="00625F11"/>
    <w:rsid w:val="00632CFA"/>
    <w:rsid w:val="00633170"/>
    <w:rsid w:val="0063419C"/>
    <w:rsid w:val="0063614F"/>
    <w:rsid w:val="006364A7"/>
    <w:rsid w:val="00641C19"/>
    <w:rsid w:val="00641C3D"/>
    <w:rsid w:val="00641FE3"/>
    <w:rsid w:val="006501F5"/>
    <w:rsid w:val="006506D9"/>
    <w:rsid w:val="006514A9"/>
    <w:rsid w:val="00651B20"/>
    <w:rsid w:val="00652290"/>
    <w:rsid w:val="00652DDE"/>
    <w:rsid w:val="006540D1"/>
    <w:rsid w:val="00660208"/>
    <w:rsid w:val="00661B0B"/>
    <w:rsid w:val="006628E6"/>
    <w:rsid w:val="006639E4"/>
    <w:rsid w:val="0066642A"/>
    <w:rsid w:val="0067175B"/>
    <w:rsid w:val="006717C2"/>
    <w:rsid w:val="00671DF1"/>
    <w:rsid w:val="006723A3"/>
    <w:rsid w:val="0067331A"/>
    <w:rsid w:val="00674143"/>
    <w:rsid w:val="0067469F"/>
    <w:rsid w:val="00675A6F"/>
    <w:rsid w:val="006770AD"/>
    <w:rsid w:val="0068181E"/>
    <w:rsid w:val="00682BDC"/>
    <w:rsid w:val="006835C0"/>
    <w:rsid w:val="00684D7F"/>
    <w:rsid w:val="00686150"/>
    <w:rsid w:val="006867FD"/>
    <w:rsid w:val="00687FB4"/>
    <w:rsid w:val="00695419"/>
    <w:rsid w:val="00696268"/>
    <w:rsid w:val="006973F4"/>
    <w:rsid w:val="00697514"/>
    <w:rsid w:val="006A00A5"/>
    <w:rsid w:val="006B0349"/>
    <w:rsid w:val="006B14BF"/>
    <w:rsid w:val="006B167C"/>
    <w:rsid w:val="006B5F3F"/>
    <w:rsid w:val="006B677B"/>
    <w:rsid w:val="006C0618"/>
    <w:rsid w:val="006C1B4D"/>
    <w:rsid w:val="006C1DD9"/>
    <w:rsid w:val="006C3D34"/>
    <w:rsid w:val="006C45D7"/>
    <w:rsid w:val="006C4E58"/>
    <w:rsid w:val="006D0684"/>
    <w:rsid w:val="006D0F89"/>
    <w:rsid w:val="006D2189"/>
    <w:rsid w:val="006D3B48"/>
    <w:rsid w:val="006D3F18"/>
    <w:rsid w:val="006D5B76"/>
    <w:rsid w:val="006D5E6E"/>
    <w:rsid w:val="006D639E"/>
    <w:rsid w:val="006D6847"/>
    <w:rsid w:val="006E00CE"/>
    <w:rsid w:val="006E05D2"/>
    <w:rsid w:val="006E0D7C"/>
    <w:rsid w:val="006E1036"/>
    <w:rsid w:val="006E35B2"/>
    <w:rsid w:val="006E3E9C"/>
    <w:rsid w:val="006E45CF"/>
    <w:rsid w:val="006E476A"/>
    <w:rsid w:val="006E6165"/>
    <w:rsid w:val="006E6380"/>
    <w:rsid w:val="006E788A"/>
    <w:rsid w:val="006E7945"/>
    <w:rsid w:val="006F13CC"/>
    <w:rsid w:val="006F3277"/>
    <w:rsid w:val="006F3700"/>
    <w:rsid w:val="006F4F2B"/>
    <w:rsid w:val="006F51DA"/>
    <w:rsid w:val="006F5DA7"/>
    <w:rsid w:val="006F7EC2"/>
    <w:rsid w:val="00701FB4"/>
    <w:rsid w:val="00704939"/>
    <w:rsid w:val="00710962"/>
    <w:rsid w:val="00710DA3"/>
    <w:rsid w:val="00710F28"/>
    <w:rsid w:val="00712699"/>
    <w:rsid w:val="007138A9"/>
    <w:rsid w:val="00714A95"/>
    <w:rsid w:val="00715FD7"/>
    <w:rsid w:val="007162C9"/>
    <w:rsid w:val="007207CC"/>
    <w:rsid w:val="00720A85"/>
    <w:rsid w:val="00721E6F"/>
    <w:rsid w:val="00722761"/>
    <w:rsid w:val="00723505"/>
    <w:rsid w:val="0072669B"/>
    <w:rsid w:val="007305F4"/>
    <w:rsid w:val="00736A7F"/>
    <w:rsid w:val="0073721A"/>
    <w:rsid w:val="00741839"/>
    <w:rsid w:val="00750F5B"/>
    <w:rsid w:val="007517C0"/>
    <w:rsid w:val="00752167"/>
    <w:rsid w:val="00753C7D"/>
    <w:rsid w:val="00753C87"/>
    <w:rsid w:val="007609AA"/>
    <w:rsid w:val="00760EE1"/>
    <w:rsid w:val="00760FD8"/>
    <w:rsid w:val="0076225D"/>
    <w:rsid w:val="0076283B"/>
    <w:rsid w:val="00763215"/>
    <w:rsid w:val="0076592C"/>
    <w:rsid w:val="00766BE2"/>
    <w:rsid w:val="00772975"/>
    <w:rsid w:val="007740BA"/>
    <w:rsid w:val="00774B3B"/>
    <w:rsid w:val="007753F6"/>
    <w:rsid w:val="00780EB1"/>
    <w:rsid w:val="00791EBC"/>
    <w:rsid w:val="007A432E"/>
    <w:rsid w:val="007A6D67"/>
    <w:rsid w:val="007A70BE"/>
    <w:rsid w:val="007A7390"/>
    <w:rsid w:val="007B71E0"/>
    <w:rsid w:val="007B7570"/>
    <w:rsid w:val="007B7EEA"/>
    <w:rsid w:val="007B7FB7"/>
    <w:rsid w:val="007C0714"/>
    <w:rsid w:val="007C304F"/>
    <w:rsid w:val="007C5043"/>
    <w:rsid w:val="007C5ABA"/>
    <w:rsid w:val="007D199E"/>
    <w:rsid w:val="007D2D7E"/>
    <w:rsid w:val="007D3F7B"/>
    <w:rsid w:val="007D4876"/>
    <w:rsid w:val="007D5267"/>
    <w:rsid w:val="007D538F"/>
    <w:rsid w:val="007D6EED"/>
    <w:rsid w:val="007E012F"/>
    <w:rsid w:val="007E11F8"/>
    <w:rsid w:val="007E1D57"/>
    <w:rsid w:val="007E30B1"/>
    <w:rsid w:val="007E354C"/>
    <w:rsid w:val="007E3A15"/>
    <w:rsid w:val="007E4585"/>
    <w:rsid w:val="007E5E0E"/>
    <w:rsid w:val="007F00A6"/>
    <w:rsid w:val="007F08DC"/>
    <w:rsid w:val="007F6D73"/>
    <w:rsid w:val="007F6F9F"/>
    <w:rsid w:val="00800836"/>
    <w:rsid w:val="00805724"/>
    <w:rsid w:val="00806213"/>
    <w:rsid w:val="00807DC1"/>
    <w:rsid w:val="00812E7F"/>
    <w:rsid w:val="008130C3"/>
    <w:rsid w:val="00813ABB"/>
    <w:rsid w:val="008149C3"/>
    <w:rsid w:val="00820662"/>
    <w:rsid w:val="00821EA9"/>
    <w:rsid w:val="00822B3D"/>
    <w:rsid w:val="0082348E"/>
    <w:rsid w:val="00825220"/>
    <w:rsid w:val="00825664"/>
    <w:rsid w:val="00826DE7"/>
    <w:rsid w:val="00827BF8"/>
    <w:rsid w:val="00831618"/>
    <w:rsid w:val="00834905"/>
    <w:rsid w:val="00836963"/>
    <w:rsid w:val="00837838"/>
    <w:rsid w:val="00837F54"/>
    <w:rsid w:val="00840A4A"/>
    <w:rsid w:val="008420EE"/>
    <w:rsid w:val="00842DE7"/>
    <w:rsid w:val="008442C5"/>
    <w:rsid w:val="0084457C"/>
    <w:rsid w:val="00845A3F"/>
    <w:rsid w:val="008500BB"/>
    <w:rsid w:val="00852882"/>
    <w:rsid w:val="00853A0A"/>
    <w:rsid w:val="00855423"/>
    <w:rsid w:val="00856EB5"/>
    <w:rsid w:val="0085749B"/>
    <w:rsid w:val="00863BE0"/>
    <w:rsid w:val="00865A29"/>
    <w:rsid w:val="008706E9"/>
    <w:rsid w:val="008749F7"/>
    <w:rsid w:val="00874D26"/>
    <w:rsid w:val="0087513F"/>
    <w:rsid w:val="00881022"/>
    <w:rsid w:val="00881AE7"/>
    <w:rsid w:val="008822CA"/>
    <w:rsid w:val="0088443E"/>
    <w:rsid w:val="00885142"/>
    <w:rsid w:val="008865E8"/>
    <w:rsid w:val="008956F2"/>
    <w:rsid w:val="008959F1"/>
    <w:rsid w:val="008962FE"/>
    <w:rsid w:val="00896A95"/>
    <w:rsid w:val="008A1A71"/>
    <w:rsid w:val="008A1FA0"/>
    <w:rsid w:val="008B271A"/>
    <w:rsid w:val="008B3779"/>
    <w:rsid w:val="008B3FA3"/>
    <w:rsid w:val="008B4F36"/>
    <w:rsid w:val="008B68BA"/>
    <w:rsid w:val="008C0F4F"/>
    <w:rsid w:val="008C19C8"/>
    <w:rsid w:val="008C54A6"/>
    <w:rsid w:val="008C5C5E"/>
    <w:rsid w:val="008C623A"/>
    <w:rsid w:val="008C7DB6"/>
    <w:rsid w:val="008D07DA"/>
    <w:rsid w:val="008D0A00"/>
    <w:rsid w:val="008D0F79"/>
    <w:rsid w:val="008D1072"/>
    <w:rsid w:val="008D34CE"/>
    <w:rsid w:val="008D56C9"/>
    <w:rsid w:val="008D6B14"/>
    <w:rsid w:val="008E06D1"/>
    <w:rsid w:val="008E07FB"/>
    <w:rsid w:val="008E16D4"/>
    <w:rsid w:val="008E16FB"/>
    <w:rsid w:val="008E6B1B"/>
    <w:rsid w:val="008F07A9"/>
    <w:rsid w:val="008F383F"/>
    <w:rsid w:val="008F58DA"/>
    <w:rsid w:val="008F6199"/>
    <w:rsid w:val="009006E5"/>
    <w:rsid w:val="00902574"/>
    <w:rsid w:val="00902998"/>
    <w:rsid w:val="00903BB8"/>
    <w:rsid w:val="0090443C"/>
    <w:rsid w:val="0090490F"/>
    <w:rsid w:val="009055F1"/>
    <w:rsid w:val="00906E1C"/>
    <w:rsid w:val="009079F5"/>
    <w:rsid w:val="00912FA6"/>
    <w:rsid w:val="00913269"/>
    <w:rsid w:val="0092031C"/>
    <w:rsid w:val="009224BB"/>
    <w:rsid w:val="00922C08"/>
    <w:rsid w:val="0092461D"/>
    <w:rsid w:val="00927C43"/>
    <w:rsid w:val="0093127A"/>
    <w:rsid w:val="0093142B"/>
    <w:rsid w:val="00931FBA"/>
    <w:rsid w:val="00933427"/>
    <w:rsid w:val="00936521"/>
    <w:rsid w:val="00937FCF"/>
    <w:rsid w:val="00940F1C"/>
    <w:rsid w:val="0094242E"/>
    <w:rsid w:val="00944A9A"/>
    <w:rsid w:val="00945177"/>
    <w:rsid w:val="00945836"/>
    <w:rsid w:val="0094666A"/>
    <w:rsid w:val="00946BD6"/>
    <w:rsid w:val="00947322"/>
    <w:rsid w:val="009509AB"/>
    <w:rsid w:val="009537A4"/>
    <w:rsid w:val="00955E45"/>
    <w:rsid w:val="0096003B"/>
    <w:rsid w:val="00960890"/>
    <w:rsid w:val="00961087"/>
    <w:rsid w:val="00961969"/>
    <w:rsid w:val="009619FE"/>
    <w:rsid w:val="00961ACC"/>
    <w:rsid w:val="00963ED0"/>
    <w:rsid w:val="009643B2"/>
    <w:rsid w:val="009645F4"/>
    <w:rsid w:val="00964C12"/>
    <w:rsid w:val="00964FE9"/>
    <w:rsid w:val="009669F9"/>
    <w:rsid w:val="009726D9"/>
    <w:rsid w:val="00973382"/>
    <w:rsid w:val="00973868"/>
    <w:rsid w:val="00974E07"/>
    <w:rsid w:val="00975813"/>
    <w:rsid w:val="00975FF4"/>
    <w:rsid w:val="0097727C"/>
    <w:rsid w:val="00977BD2"/>
    <w:rsid w:val="009812D5"/>
    <w:rsid w:val="0098446A"/>
    <w:rsid w:val="009866F0"/>
    <w:rsid w:val="009927EE"/>
    <w:rsid w:val="009944FC"/>
    <w:rsid w:val="00996255"/>
    <w:rsid w:val="009A0048"/>
    <w:rsid w:val="009A0498"/>
    <w:rsid w:val="009A1499"/>
    <w:rsid w:val="009A1B10"/>
    <w:rsid w:val="009A352D"/>
    <w:rsid w:val="009A3E4D"/>
    <w:rsid w:val="009A5789"/>
    <w:rsid w:val="009B12E0"/>
    <w:rsid w:val="009B2745"/>
    <w:rsid w:val="009B2858"/>
    <w:rsid w:val="009B652A"/>
    <w:rsid w:val="009B6711"/>
    <w:rsid w:val="009C49A1"/>
    <w:rsid w:val="009C5121"/>
    <w:rsid w:val="009C70DF"/>
    <w:rsid w:val="009C763C"/>
    <w:rsid w:val="009C7CC4"/>
    <w:rsid w:val="009D175D"/>
    <w:rsid w:val="009D182F"/>
    <w:rsid w:val="009D787E"/>
    <w:rsid w:val="009E1581"/>
    <w:rsid w:val="009E2C32"/>
    <w:rsid w:val="009E40DA"/>
    <w:rsid w:val="009E4C6B"/>
    <w:rsid w:val="009E4F15"/>
    <w:rsid w:val="009E6C4B"/>
    <w:rsid w:val="009E7370"/>
    <w:rsid w:val="009F3F18"/>
    <w:rsid w:val="009F4006"/>
    <w:rsid w:val="009F434C"/>
    <w:rsid w:val="009F6033"/>
    <w:rsid w:val="009F6A89"/>
    <w:rsid w:val="00A03B62"/>
    <w:rsid w:val="00A05DD2"/>
    <w:rsid w:val="00A079CB"/>
    <w:rsid w:val="00A10913"/>
    <w:rsid w:val="00A14B54"/>
    <w:rsid w:val="00A14F57"/>
    <w:rsid w:val="00A1520A"/>
    <w:rsid w:val="00A154D1"/>
    <w:rsid w:val="00A15F46"/>
    <w:rsid w:val="00A16E6D"/>
    <w:rsid w:val="00A16EE7"/>
    <w:rsid w:val="00A2457F"/>
    <w:rsid w:val="00A24E70"/>
    <w:rsid w:val="00A27C58"/>
    <w:rsid w:val="00A27D1E"/>
    <w:rsid w:val="00A27D61"/>
    <w:rsid w:val="00A310A2"/>
    <w:rsid w:val="00A32EB0"/>
    <w:rsid w:val="00A339BF"/>
    <w:rsid w:val="00A379A1"/>
    <w:rsid w:val="00A4004F"/>
    <w:rsid w:val="00A40780"/>
    <w:rsid w:val="00A42B53"/>
    <w:rsid w:val="00A42E74"/>
    <w:rsid w:val="00A51ECC"/>
    <w:rsid w:val="00A52728"/>
    <w:rsid w:val="00A53B9C"/>
    <w:rsid w:val="00A54122"/>
    <w:rsid w:val="00A54537"/>
    <w:rsid w:val="00A5481C"/>
    <w:rsid w:val="00A55841"/>
    <w:rsid w:val="00A55A2A"/>
    <w:rsid w:val="00A56D45"/>
    <w:rsid w:val="00A56E62"/>
    <w:rsid w:val="00A5755C"/>
    <w:rsid w:val="00A57BE0"/>
    <w:rsid w:val="00A60641"/>
    <w:rsid w:val="00A6236E"/>
    <w:rsid w:val="00A65D98"/>
    <w:rsid w:val="00A66EA0"/>
    <w:rsid w:val="00A726F9"/>
    <w:rsid w:val="00A732AB"/>
    <w:rsid w:val="00A73912"/>
    <w:rsid w:val="00A74DF6"/>
    <w:rsid w:val="00A75F45"/>
    <w:rsid w:val="00A7613E"/>
    <w:rsid w:val="00A76269"/>
    <w:rsid w:val="00A76633"/>
    <w:rsid w:val="00A76D04"/>
    <w:rsid w:val="00A800F8"/>
    <w:rsid w:val="00A80B85"/>
    <w:rsid w:val="00A82CA2"/>
    <w:rsid w:val="00A8403B"/>
    <w:rsid w:val="00A84079"/>
    <w:rsid w:val="00A868CD"/>
    <w:rsid w:val="00A87319"/>
    <w:rsid w:val="00A87F1F"/>
    <w:rsid w:val="00A90600"/>
    <w:rsid w:val="00A91B31"/>
    <w:rsid w:val="00A92306"/>
    <w:rsid w:val="00AA0D47"/>
    <w:rsid w:val="00AA2605"/>
    <w:rsid w:val="00AA67E4"/>
    <w:rsid w:val="00AA78C1"/>
    <w:rsid w:val="00AB1ECE"/>
    <w:rsid w:val="00AB2395"/>
    <w:rsid w:val="00AB443A"/>
    <w:rsid w:val="00AB4BF8"/>
    <w:rsid w:val="00AB532C"/>
    <w:rsid w:val="00AC0A59"/>
    <w:rsid w:val="00AC11E6"/>
    <w:rsid w:val="00AC16EB"/>
    <w:rsid w:val="00AC75E4"/>
    <w:rsid w:val="00AD0ED0"/>
    <w:rsid w:val="00AD2C51"/>
    <w:rsid w:val="00AD5547"/>
    <w:rsid w:val="00AD58DE"/>
    <w:rsid w:val="00AD5E33"/>
    <w:rsid w:val="00AE0046"/>
    <w:rsid w:val="00AE1BD5"/>
    <w:rsid w:val="00AE1DD4"/>
    <w:rsid w:val="00AE2391"/>
    <w:rsid w:val="00AE3048"/>
    <w:rsid w:val="00AE43F4"/>
    <w:rsid w:val="00AE4C47"/>
    <w:rsid w:val="00AE78DF"/>
    <w:rsid w:val="00AF105D"/>
    <w:rsid w:val="00AF5970"/>
    <w:rsid w:val="00B005CF"/>
    <w:rsid w:val="00B03846"/>
    <w:rsid w:val="00B03C6C"/>
    <w:rsid w:val="00B04B06"/>
    <w:rsid w:val="00B0769B"/>
    <w:rsid w:val="00B07C99"/>
    <w:rsid w:val="00B126BF"/>
    <w:rsid w:val="00B12E54"/>
    <w:rsid w:val="00B14655"/>
    <w:rsid w:val="00B21974"/>
    <w:rsid w:val="00B22267"/>
    <w:rsid w:val="00B25846"/>
    <w:rsid w:val="00B26F84"/>
    <w:rsid w:val="00B2718A"/>
    <w:rsid w:val="00B37236"/>
    <w:rsid w:val="00B42C8F"/>
    <w:rsid w:val="00B46CA2"/>
    <w:rsid w:val="00B47BB8"/>
    <w:rsid w:val="00B527B6"/>
    <w:rsid w:val="00B54C3F"/>
    <w:rsid w:val="00B54CDA"/>
    <w:rsid w:val="00B55466"/>
    <w:rsid w:val="00B61EB7"/>
    <w:rsid w:val="00B64CAC"/>
    <w:rsid w:val="00B64DFD"/>
    <w:rsid w:val="00B6635F"/>
    <w:rsid w:val="00B674B2"/>
    <w:rsid w:val="00B70BCB"/>
    <w:rsid w:val="00B74C7B"/>
    <w:rsid w:val="00B76DC6"/>
    <w:rsid w:val="00B76F2C"/>
    <w:rsid w:val="00B8015F"/>
    <w:rsid w:val="00B804AB"/>
    <w:rsid w:val="00B806D7"/>
    <w:rsid w:val="00B821AE"/>
    <w:rsid w:val="00B82474"/>
    <w:rsid w:val="00B82C98"/>
    <w:rsid w:val="00B83A49"/>
    <w:rsid w:val="00B84258"/>
    <w:rsid w:val="00B8570D"/>
    <w:rsid w:val="00B91665"/>
    <w:rsid w:val="00B93D1F"/>
    <w:rsid w:val="00B95EE9"/>
    <w:rsid w:val="00B9623B"/>
    <w:rsid w:val="00B96FE1"/>
    <w:rsid w:val="00B97092"/>
    <w:rsid w:val="00BA0B60"/>
    <w:rsid w:val="00BA1B9C"/>
    <w:rsid w:val="00BB0F3E"/>
    <w:rsid w:val="00BB3750"/>
    <w:rsid w:val="00BB4117"/>
    <w:rsid w:val="00BB4186"/>
    <w:rsid w:val="00BB44A9"/>
    <w:rsid w:val="00BB504E"/>
    <w:rsid w:val="00BB658C"/>
    <w:rsid w:val="00BB7048"/>
    <w:rsid w:val="00BB729F"/>
    <w:rsid w:val="00BB7751"/>
    <w:rsid w:val="00BC0229"/>
    <w:rsid w:val="00BC189E"/>
    <w:rsid w:val="00BC3137"/>
    <w:rsid w:val="00BC3B30"/>
    <w:rsid w:val="00BC4F88"/>
    <w:rsid w:val="00BC65C7"/>
    <w:rsid w:val="00BC66B9"/>
    <w:rsid w:val="00BC6BA3"/>
    <w:rsid w:val="00BD04D9"/>
    <w:rsid w:val="00BD1A6C"/>
    <w:rsid w:val="00BD3D9A"/>
    <w:rsid w:val="00BD4E76"/>
    <w:rsid w:val="00BD5B4B"/>
    <w:rsid w:val="00BD6804"/>
    <w:rsid w:val="00BE0523"/>
    <w:rsid w:val="00BE0A18"/>
    <w:rsid w:val="00BE2166"/>
    <w:rsid w:val="00BE3421"/>
    <w:rsid w:val="00BE3C08"/>
    <w:rsid w:val="00BE62E9"/>
    <w:rsid w:val="00BF0E35"/>
    <w:rsid w:val="00BF21D1"/>
    <w:rsid w:val="00BF2241"/>
    <w:rsid w:val="00BF27FF"/>
    <w:rsid w:val="00BF30CF"/>
    <w:rsid w:val="00BF5498"/>
    <w:rsid w:val="00BF57B5"/>
    <w:rsid w:val="00BF6B0D"/>
    <w:rsid w:val="00BF6CED"/>
    <w:rsid w:val="00BF7D56"/>
    <w:rsid w:val="00C01BC5"/>
    <w:rsid w:val="00C034AB"/>
    <w:rsid w:val="00C038B8"/>
    <w:rsid w:val="00C0448D"/>
    <w:rsid w:val="00C07480"/>
    <w:rsid w:val="00C10415"/>
    <w:rsid w:val="00C116D2"/>
    <w:rsid w:val="00C11A21"/>
    <w:rsid w:val="00C11F0A"/>
    <w:rsid w:val="00C1434A"/>
    <w:rsid w:val="00C23088"/>
    <w:rsid w:val="00C24C09"/>
    <w:rsid w:val="00C2652A"/>
    <w:rsid w:val="00C31074"/>
    <w:rsid w:val="00C31B07"/>
    <w:rsid w:val="00C349B1"/>
    <w:rsid w:val="00C35E07"/>
    <w:rsid w:val="00C361C8"/>
    <w:rsid w:val="00C37635"/>
    <w:rsid w:val="00C37FE8"/>
    <w:rsid w:val="00C404E2"/>
    <w:rsid w:val="00C4115C"/>
    <w:rsid w:val="00C41648"/>
    <w:rsid w:val="00C41B2B"/>
    <w:rsid w:val="00C41C2C"/>
    <w:rsid w:val="00C424C3"/>
    <w:rsid w:val="00C429F5"/>
    <w:rsid w:val="00C47084"/>
    <w:rsid w:val="00C470C0"/>
    <w:rsid w:val="00C472CA"/>
    <w:rsid w:val="00C50FE2"/>
    <w:rsid w:val="00C51163"/>
    <w:rsid w:val="00C51AC9"/>
    <w:rsid w:val="00C5323E"/>
    <w:rsid w:val="00C54AEA"/>
    <w:rsid w:val="00C566CB"/>
    <w:rsid w:val="00C60418"/>
    <w:rsid w:val="00C60431"/>
    <w:rsid w:val="00C60AE4"/>
    <w:rsid w:val="00C61CB5"/>
    <w:rsid w:val="00C6254F"/>
    <w:rsid w:val="00C645E2"/>
    <w:rsid w:val="00C70789"/>
    <w:rsid w:val="00C70977"/>
    <w:rsid w:val="00C73D34"/>
    <w:rsid w:val="00C75252"/>
    <w:rsid w:val="00C77843"/>
    <w:rsid w:val="00C77F64"/>
    <w:rsid w:val="00C80B24"/>
    <w:rsid w:val="00C81B69"/>
    <w:rsid w:val="00C84F76"/>
    <w:rsid w:val="00C852EE"/>
    <w:rsid w:val="00C87B4B"/>
    <w:rsid w:val="00C90B31"/>
    <w:rsid w:val="00C92A97"/>
    <w:rsid w:val="00C946CF"/>
    <w:rsid w:val="00C94C40"/>
    <w:rsid w:val="00C96580"/>
    <w:rsid w:val="00C974E0"/>
    <w:rsid w:val="00CA105B"/>
    <w:rsid w:val="00CA1E06"/>
    <w:rsid w:val="00CA6D04"/>
    <w:rsid w:val="00CA7B47"/>
    <w:rsid w:val="00CB1EF9"/>
    <w:rsid w:val="00CB27F9"/>
    <w:rsid w:val="00CB2A0D"/>
    <w:rsid w:val="00CB4247"/>
    <w:rsid w:val="00CB5413"/>
    <w:rsid w:val="00CB7178"/>
    <w:rsid w:val="00CB74B3"/>
    <w:rsid w:val="00CC2E4F"/>
    <w:rsid w:val="00CC3AFC"/>
    <w:rsid w:val="00CC63AF"/>
    <w:rsid w:val="00CC7386"/>
    <w:rsid w:val="00CC7A35"/>
    <w:rsid w:val="00CD0AB0"/>
    <w:rsid w:val="00CD0B6B"/>
    <w:rsid w:val="00CD1785"/>
    <w:rsid w:val="00CD17AC"/>
    <w:rsid w:val="00CD262D"/>
    <w:rsid w:val="00CD2AAE"/>
    <w:rsid w:val="00CD5611"/>
    <w:rsid w:val="00CD5E97"/>
    <w:rsid w:val="00CD7114"/>
    <w:rsid w:val="00CE1B67"/>
    <w:rsid w:val="00CE1FF6"/>
    <w:rsid w:val="00CE5E34"/>
    <w:rsid w:val="00CE6B48"/>
    <w:rsid w:val="00CF112E"/>
    <w:rsid w:val="00CF3233"/>
    <w:rsid w:val="00CF476F"/>
    <w:rsid w:val="00CF79DC"/>
    <w:rsid w:val="00D007B1"/>
    <w:rsid w:val="00D014CB"/>
    <w:rsid w:val="00D01E02"/>
    <w:rsid w:val="00D02070"/>
    <w:rsid w:val="00D047AC"/>
    <w:rsid w:val="00D04EDA"/>
    <w:rsid w:val="00D05BAB"/>
    <w:rsid w:val="00D05EB6"/>
    <w:rsid w:val="00D1023D"/>
    <w:rsid w:val="00D10CD6"/>
    <w:rsid w:val="00D1102D"/>
    <w:rsid w:val="00D123ED"/>
    <w:rsid w:val="00D127E0"/>
    <w:rsid w:val="00D140EA"/>
    <w:rsid w:val="00D150E9"/>
    <w:rsid w:val="00D16F94"/>
    <w:rsid w:val="00D179EF"/>
    <w:rsid w:val="00D24F15"/>
    <w:rsid w:val="00D263C0"/>
    <w:rsid w:val="00D27077"/>
    <w:rsid w:val="00D270CD"/>
    <w:rsid w:val="00D316DF"/>
    <w:rsid w:val="00D32BF0"/>
    <w:rsid w:val="00D35CBC"/>
    <w:rsid w:val="00D37F8A"/>
    <w:rsid w:val="00D40217"/>
    <w:rsid w:val="00D40808"/>
    <w:rsid w:val="00D40B25"/>
    <w:rsid w:val="00D41ED3"/>
    <w:rsid w:val="00D41F64"/>
    <w:rsid w:val="00D4580B"/>
    <w:rsid w:val="00D517B8"/>
    <w:rsid w:val="00D52023"/>
    <w:rsid w:val="00D523D2"/>
    <w:rsid w:val="00D53444"/>
    <w:rsid w:val="00D57E0F"/>
    <w:rsid w:val="00D6056F"/>
    <w:rsid w:val="00D606D1"/>
    <w:rsid w:val="00D60B35"/>
    <w:rsid w:val="00D61105"/>
    <w:rsid w:val="00D618B7"/>
    <w:rsid w:val="00D64307"/>
    <w:rsid w:val="00D65E19"/>
    <w:rsid w:val="00D675CC"/>
    <w:rsid w:val="00D676DD"/>
    <w:rsid w:val="00D67F37"/>
    <w:rsid w:val="00D70049"/>
    <w:rsid w:val="00D73D79"/>
    <w:rsid w:val="00D81A01"/>
    <w:rsid w:val="00D91233"/>
    <w:rsid w:val="00D93C5F"/>
    <w:rsid w:val="00DA337A"/>
    <w:rsid w:val="00DA411A"/>
    <w:rsid w:val="00DA4711"/>
    <w:rsid w:val="00DA49CF"/>
    <w:rsid w:val="00DA4B78"/>
    <w:rsid w:val="00DA5337"/>
    <w:rsid w:val="00DA7508"/>
    <w:rsid w:val="00DA757E"/>
    <w:rsid w:val="00DB2635"/>
    <w:rsid w:val="00DB3D80"/>
    <w:rsid w:val="00DC2A01"/>
    <w:rsid w:val="00DC314D"/>
    <w:rsid w:val="00DC4C3C"/>
    <w:rsid w:val="00DC610E"/>
    <w:rsid w:val="00DC7188"/>
    <w:rsid w:val="00DC7EDF"/>
    <w:rsid w:val="00DD0B2F"/>
    <w:rsid w:val="00DD0D1A"/>
    <w:rsid w:val="00DD1AD9"/>
    <w:rsid w:val="00DD1F20"/>
    <w:rsid w:val="00DD59EF"/>
    <w:rsid w:val="00DD6CDC"/>
    <w:rsid w:val="00DE11BE"/>
    <w:rsid w:val="00DE2AB0"/>
    <w:rsid w:val="00DE3769"/>
    <w:rsid w:val="00DE5DC3"/>
    <w:rsid w:val="00DE6EF0"/>
    <w:rsid w:val="00DF23E3"/>
    <w:rsid w:val="00DF5ADE"/>
    <w:rsid w:val="00E02C23"/>
    <w:rsid w:val="00E0305B"/>
    <w:rsid w:val="00E03BC5"/>
    <w:rsid w:val="00E10961"/>
    <w:rsid w:val="00E10C4C"/>
    <w:rsid w:val="00E12BAC"/>
    <w:rsid w:val="00E130BD"/>
    <w:rsid w:val="00E173C1"/>
    <w:rsid w:val="00E17879"/>
    <w:rsid w:val="00E213F7"/>
    <w:rsid w:val="00E22DA4"/>
    <w:rsid w:val="00E2476F"/>
    <w:rsid w:val="00E2545C"/>
    <w:rsid w:val="00E266DC"/>
    <w:rsid w:val="00E26E6F"/>
    <w:rsid w:val="00E2706E"/>
    <w:rsid w:val="00E27AA0"/>
    <w:rsid w:val="00E32481"/>
    <w:rsid w:val="00E32EC7"/>
    <w:rsid w:val="00E351C5"/>
    <w:rsid w:val="00E35B16"/>
    <w:rsid w:val="00E35B2E"/>
    <w:rsid w:val="00E3779B"/>
    <w:rsid w:val="00E43EAD"/>
    <w:rsid w:val="00E44138"/>
    <w:rsid w:val="00E44BF3"/>
    <w:rsid w:val="00E472D5"/>
    <w:rsid w:val="00E475C5"/>
    <w:rsid w:val="00E476DD"/>
    <w:rsid w:val="00E47CC2"/>
    <w:rsid w:val="00E518B2"/>
    <w:rsid w:val="00E54937"/>
    <w:rsid w:val="00E55AAB"/>
    <w:rsid w:val="00E55C5E"/>
    <w:rsid w:val="00E56CB6"/>
    <w:rsid w:val="00E57097"/>
    <w:rsid w:val="00E57AAA"/>
    <w:rsid w:val="00E600B5"/>
    <w:rsid w:val="00E6060D"/>
    <w:rsid w:val="00E62288"/>
    <w:rsid w:val="00E62646"/>
    <w:rsid w:val="00E6351A"/>
    <w:rsid w:val="00E64ED1"/>
    <w:rsid w:val="00E661EC"/>
    <w:rsid w:val="00E751B1"/>
    <w:rsid w:val="00E773BB"/>
    <w:rsid w:val="00E77914"/>
    <w:rsid w:val="00E81FD5"/>
    <w:rsid w:val="00E836CC"/>
    <w:rsid w:val="00E837CE"/>
    <w:rsid w:val="00E85456"/>
    <w:rsid w:val="00E871B3"/>
    <w:rsid w:val="00E909E3"/>
    <w:rsid w:val="00E90D3A"/>
    <w:rsid w:val="00E91215"/>
    <w:rsid w:val="00E91639"/>
    <w:rsid w:val="00E91F29"/>
    <w:rsid w:val="00E91F37"/>
    <w:rsid w:val="00E922A9"/>
    <w:rsid w:val="00E93F55"/>
    <w:rsid w:val="00E9497D"/>
    <w:rsid w:val="00E950B0"/>
    <w:rsid w:val="00E97399"/>
    <w:rsid w:val="00EA4D39"/>
    <w:rsid w:val="00EA5180"/>
    <w:rsid w:val="00EA5FA8"/>
    <w:rsid w:val="00EB223E"/>
    <w:rsid w:val="00EB7EDE"/>
    <w:rsid w:val="00EC22E6"/>
    <w:rsid w:val="00EC4D48"/>
    <w:rsid w:val="00EC57CC"/>
    <w:rsid w:val="00EC65C7"/>
    <w:rsid w:val="00EC72DE"/>
    <w:rsid w:val="00EC7945"/>
    <w:rsid w:val="00ED044B"/>
    <w:rsid w:val="00ED0E1B"/>
    <w:rsid w:val="00ED6E82"/>
    <w:rsid w:val="00ED76EA"/>
    <w:rsid w:val="00EE00AE"/>
    <w:rsid w:val="00EE0718"/>
    <w:rsid w:val="00EE0FE1"/>
    <w:rsid w:val="00EE30C6"/>
    <w:rsid w:val="00EE7502"/>
    <w:rsid w:val="00EE7548"/>
    <w:rsid w:val="00EF02A5"/>
    <w:rsid w:val="00EF082C"/>
    <w:rsid w:val="00EF2AD6"/>
    <w:rsid w:val="00EF334E"/>
    <w:rsid w:val="00EF342E"/>
    <w:rsid w:val="00EF4990"/>
    <w:rsid w:val="00EF6572"/>
    <w:rsid w:val="00EF7C1B"/>
    <w:rsid w:val="00F04E86"/>
    <w:rsid w:val="00F069F6"/>
    <w:rsid w:val="00F110CD"/>
    <w:rsid w:val="00F11F83"/>
    <w:rsid w:val="00F13AA3"/>
    <w:rsid w:val="00F13FC4"/>
    <w:rsid w:val="00F15A8F"/>
    <w:rsid w:val="00F16CC4"/>
    <w:rsid w:val="00F21BF0"/>
    <w:rsid w:val="00F2317E"/>
    <w:rsid w:val="00F236F8"/>
    <w:rsid w:val="00F2462B"/>
    <w:rsid w:val="00F2673A"/>
    <w:rsid w:val="00F27BF4"/>
    <w:rsid w:val="00F30A2D"/>
    <w:rsid w:val="00F36DE6"/>
    <w:rsid w:val="00F37488"/>
    <w:rsid w:val="00F40CFC"/>
    <w:rsid w:val="00F40FCD"/>
    <w:rsid w:val="00F41283"/>
    <w:rsid w:val="00F45D53"/>
    <w:rsid w:val="00F463E0"/>
    <w:rsid w:val="00F46A72"/>
    <w:rsid w:val="00F47904"/>
    <w:rsid w:val="00F501D9"/>
    <w:rsid w:val="00F50565"/>
    <w:rsid w:val="00F51050"/>
    <w:rsid w:val="00F516F5"/>
    <w:rsid w:val="00F52C9D"/>
    <w:rsid w:val="00F566D5"/>
    <w:rsid w:val="00F600F2"/>
    <w:rsid w:val="00F63F3A"/>
    <w:rsid w:val="00F6568A"/>
    <w:rsid w:val="00F66BEA"/>
    <w:rsid w:val="00F66E91"/>
    <w:rsid w:val="00F71E6F"/>
    <w:rsid w:val="00F76DD2"/>
    <w:rsid w:val="00F80748"/>
    <w:rsid w:val="00F81111"/>
    <w:rsid w:val="00F8340E"/>
    <w:rsid w:val="00F861DE"/>
    <w:rsid w:val="00F90F7D"/>
    <w:rsid w:val="00F91DF3"/>
    <w:rsid w:val="00F92087"/>
    <w:rsid w:val="00F94D22"/>
    <w:rsid w:val="00F94DEF"/>
    <w:rsid w:val="00F95910"/>
    <w:rsid w:val="00F972AA"/>
    <w:rsid w:val="00F973A6"/>
    <w:rsid w:val="00F9748C"/>
    <w:rsid w:val="00FA026E"/>
    <w:rsid w:val="00FA070A"/>
    <w:rsid w:val="00FA5856"/>
    <w:rsid w:val="00FA5C02"/>
    <w:rsid w:val="00FA6FF2"/>
    <w:rsid w:val="00FA77EE"/>
    <w:rsid w:val="00FA7BFA"/>
    <w:rsid w:val="00FB54AB"/>
    <w:rsid w:val="00FB5764"/>
    <w:rsid w:val="00FB6437"/>
    <w:rsid w:val="00FB7E7D"/>
    <w:rsid w:val="00FC2FBA"/>
    <w:rsid w:val="00FC5DA4"/>
    <w:rsid w:val="00FC68F9"/>
    <w:rsid w:val="00FC6EE9"/>
    <w:rsid w:val="00FD145C"/>
    <w:rsid w:val="00FD1A3D"/>
    <w:rsid w:val="00FD274D"/>
    <w:rsid w:val="00FD52FC"/>
    <w:rsid w:val="00FD620E"/>
    <w:rsid w:val="00FE3A95"/>
    <w:rsid w:val="00FF3536"/>
    <w:rsid w:val="00FF3954"/>
    <w:rsid w:val="00FF4636"/>
    <w:rsid w:val="00FF580F"/>
    <w:rsid w:val="00FF5D2B"/>
    <w:rsid w:val="02113E4F"/>
    <w:rsid w:val="039B5720"/>
    <w:rsid w:val="03FC5E82"/>
    <w:rsid w:val="043715E2"/>
    <w:rsid w:val="061C285F"/>
    <w:rsid w:val="06322C8C"/>
    <w:rsid w:val="07895120"/>
    <w:rsid w:val="08FE2242"/>
    <w:rsid w:val="09147308"/>
    <w:rsid w:val="105B7E39"/>
    <w:rsid w:val="128F24EA"/>
    <w:rsid w:val="12BE2183"/>
    <w:rsid w:val="13A22EA1"/>
    <w:rsid w:val="13FA500A"/>
    <w:rsid w:val="15080EBE"/>
    <w:rsid w:val="15356E8A"/>
    <w:rsid w:val="17F13E79"/>
    <w:rsid w:val="195C65FC"/>
    <w:rsid w:val="1B2E7EFB"/>
    <w:rsid w:val="1C4B5D71"/>
    <w:rsid w:val="1D347916"/>
    <w:rsid w:val="1EBB651C"/>
    <w:rsid w:val="1F690151"/>
    <w:rsid w:val="221955EF"/>
    <w:rsid w:val="23CF3BAA"/>
    <w:rsid w:val="25B41E9D"/>
    <w:rsid w:val="275774BC"/>
    <w:rsid w:val="27BC027C"/>
    <w:rsid w:val="28792F09"/>
    <w:rsid w:val="2983524E"/>
    <w:rsid w:val="2B1F1CF6"/>
    <w:rsid w:val="2F8B521B"/>
    <w:rsid w:val="2FB70B5B"/>
    <w:rsid w:val="325623AA"/>
    <w:rsid w:val="33C74298"/>
    <w:rsid w:val="341640E8"/>
    <w:rsid w:val="38F73316"/>
    <w:rsid w:val="38FC0CD5"/>
    <w:rsid w:val="398A2E2E"/>
    <w:rsid w:val="3A040C9F"/>
    <w:rsid w:val="3AD54840"/>
    <w:rsid w:val="3AF57197"/>
    <w:rsid w:val="3C1B043E"/>
    <w:rsid w:val="3CBD13FD"/>
    <w:rsid w:val="3DF4053E"/>
    <w:rsid w:val="404B2E8B"/>
    <w:rsid w:val="40910F5D"/>
    <w:rsid w:val="40BA4177"/>
    <w:rsid w:val="412818A5"/>
    <w:rsid w:val="4565044C"/>
    <w:rsid w:val="46014481"/>
    <w:rsid w:val="477B4832"/>
    <w:rsid w:val="49F00D5F"/>
    <w:rsid w:val="4F2428BC"/>
    <w:rsid w:val="4F343DA7"/>
    <w:rsid w:val="500242FE"/>
    <w:rsid w:val="52643142"/>
    <w:rsid w:val="53047B1C"/>
    <w:rsid w:val="53EF11F3"/>
    <w:rsid w:val="55035063"/>
    <w:rsid w:val="56E20EC8"/>
    <w:rsid w:val="56E35D53"/>
    <w:rsid w:val="571264AF"/>
    <w:rsid w:val="57B2047E"/>
    <w:rsid w:val="585F0CFA"/>
    <w:rsid w:val="58900DF0"/>
    <w:rsid w:val="58B84252"/>
    <w:rsid w:val="58BE6CA1"/>
    <w:rsid w:val="59B72774"/>
    <w:rsid w:val="5AB578C2"/>
    <w:rsid w:val="5B5D4EA9"/>
    <w:rsid w:val="5C0F2107"/>
    <w:rsid w:val="5D135882"/>
    <w:rsid w:val="5E531797"/>
    <w:rsid w:val="5E543814"/>
    <w:rsid w:val="5FBA7BE3"/>
    <w:rsid w:val="61620FB6"/>
    <w:rsid w:val="622F7DDC"/>
    <w:rsid w:val="64E80A78"/>
    <w:rsid w:val="665A501E"/>
    <w:rsid w:val="67A6286B"/>
    <w:rsid w:val="68B42BF3"/>
    <w:rsid w:val="6B3A19E3"/>
    <w:rsid w:val="6D30452E"/>
    <w:rsid w:val="6D6F527B"/>
    <w:rsid w:val="6E407887"/>
    <w:rsid w:val="6E750089"/>
    <w:rsid w:val="73195E4C"/>
    <w:rsid w:val="7530793A"/>
    <w:rsid w:val="76093A95"/>
    <w:rsid w:val="76E14E65"/>
    <w:rsid w:val="77107C07"/>
    <w:rsid w:val="788419CF"/>
    <w:rsid w:val="7AE110A7"/>
    <w:rsid w:val="7D23263F"/>
    <w:rsid w:val="7D355645"/>
    <w:rsid w:val="7DAF2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2">
    <w:name w:val="Default Paragraph Font"/>
    <w:uiPriority w:val="0"/>
  </w:style>
  <w:style w:type="table" w:default="1" w:styleId="11">
    <w:name w:val="Normal Table"/>
    <w:unhideWhenUsed/>
    <w:uiPriority w:val="99"/>
    <w:tblPr>
      <w:tblCellMar>
        <w:top w:w="0" w:type="dxa"/>
        <w:left w:w="108" w:type="dxa"/>
        <w:bottom w:w="0" w:type="dxa"/>
        <w:right w:w="108" w:type="dxa"/>
      </w:tblCellMar>
    </w:tblPr>
  </w:style>
  <w:style w:type="paragraph" w:styleId="2">
    <w:name w:val="Document Map"/>
    <w:basedOn w:val="1"/>
    <w:link w:val="16"/>
    <w:uiPriority w:val="0"/>
    <w:rPr>
      <w:rFonts w:ascii="宋体"/>
      <w:sz w:val="18"/>
      <w:szCs w:val="18"/>
    </w:rPr>
  </w:style>
  <w:style w:type="paragraph" w:styleId="3">
    <w:name w:val="annotation text"/>
    <w:basedOn w:val="1"/>
    <w:link w:val="17"/>
    <w:unhideWhenUsed/>
    <w:uiPriority w:val="99"/>
    <w:pPr>
      <w:jc w:val="left"/>
    </w:pPr>
  </w:style>
  <w:style w:type="paragraph" w:styleId="4">
    <w:name w:val="Body Text Indent 2"/>
    <w:basedOn w:val="1"/>
    <w:link w:val="18"/>
    <w:qFormat/>
    <w:uiPriority w:val="0"/>
    <w:pPr>
      <w:ind w:firstLine="640" w:firstLineChars="200"/>
    </w:pPr>
    <w:rPr>
      <w:rFonts w:ascii="楷体_GB2312" w:hAnsi="Courier New" w:eastAsia="楷体_GB2312"/>
      <w:szCs w:val="20"/>
    </w:rPr>
  </w:style>
  <w:style w:type="paragraph" w:styleId="5">
    <w:name w:val="Balloon Text"/>
    <w:basedOn w:val="1"/>
    <w:semiHidden/>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9"/>
    <w:qFormat/>
    <w:uiPriority w:val="11"/>
    <w:pPr>
      <w:spacing w:before="240" w:after="60" w:line="312" w:lineRule="auto"/>
      <w:jc w:val="center"/>
      <w:outlineLvl w:val="1"/>
    </w:pPr>
    <w:rPr>
      <w:rFonts w:ascii="Cambria" w:hAnsi="Cambria"/>
      <w:b/>
      <w:bCs/>
      <w:kern w:val="28"/>
      <w:szCs w:val="32"/>
    </w:rPr>
  </w:style>
  <w:style w:type="paragraph" w:styleId="9">
    <w:name w:val="Title"/>
    <w:basedOn w:val="1"/>
    <w:next w:val="1"/>
    <w:link w:val="20"/>
    <w:qFormat/>
    <w:uiPriority w:val="0"/>
    <w:pPr>
      <w:spacing w:before="240" w:after="60"/>
      <w:jc w:val="center"/>
      <w:outlineLvl w:val="0"/>
    </w:pPr>
    <w:rPr>
      <w:rFonts w:ascii="Cambria" w:hAnsi="Cambria"/>
      <w:b/>
      <w:bCs/>
      <w:szCs w:val="32"/>
    </w:rPr>
  </w:style>
  <w:style w:type="paragraph" w:styleId="10">
    <w:name w:val="annotation subject"/>
    <w:basedOn w:val="3"/>
    <w:next w:val="3"/>
    <w:link w:val="21"/>
    <w:unhideWhenUsed/>
    <w:qFormat/>
    <w:uiPriority w:val="99"/>
    <w:rPr>
      <w:b/>
      <w:bCs/>
    </w:rPr>
  </w:style>
  <w:style w:type="character" w:styleId="13">
    <w:name w:val="Strong"/>
    <w:basedOn w:val="12"/>
    <w:qFormat/>
    <w:uiPriority w:val="22"/>
    <w:rPr>
      <w:b/>
      <w:bCs/>
    </w:rPr>
  </w:style>
  <w:style w:type="character" w:styleId="14">
    <w:name w:val="page number"/>
    <w:qFormat/>
    <w:uiPriority w:val="0"/>
  </w:style>
  <w:style w:type="character" w:styleId="15">
    <w:name w:val="annotation reference"/>
    <w:unhideWhenUsed/>
    <w:qFormat/>
    <w:uiPriority w:val="99"/>
    <w:rPr>
      <w:sz w:val="21"/>
      <w:szCs w:val="21"/>
    </w:rPr>
  </w:style>
  <w:style w:type="character" w:customStyle="1" w:styleId="16">
    <w:name w:val="文档结构图 字符"/>
    <w:link w:val="2"/>
    <w:qFormat/>
    <w:uiPriority w:val="0"/>
    <w:rPr>
      <w:rFonts w:ascii="宋体"/>
      <w:kern w:val="2"/>
      <w:sz w:val="18"/>
      <w:szCs w:val="18"/>
    </w:rPr>
  </w:style>
  <w:style w:type="character" w:customStyle="1" w:styleId="17">
    <w:name w:val="批注文字 字符"/>
    <w:link w:val="3"/>
    <w:semiHidden/>
    <w:qFormat/>
    <w:uiPriority w:val="99"/>
    <w:rPr>
      <w:kern w:val="2"/>
      <w:sz w:val="32"/>
      <w:szCs w:val="24"/>
    </w:rPr>
  </w:style>
  <w:style w:type="character" w:customStyle="1" w:styleId="18">
    <w:name w:val="正文文本缩进 2 字符"/>
    <w:link w:val="4"/>
    <w:qFormat/>
    <w:uiPriority w:val="0"/>
    <w:rPr>
      <w:rFonts w:ascii="楷体_GB2312" w:hAnsi="Courier New" w:eastAsia="楷体_GB2312"/>
      <w:kern w:val="2"/>
      <w:sz w:val="32"/>
    </w:rPr>
  </w:style>
  <w:style w:type="character" w:customStyle="1" w:styleId="19">
    <w:name w:val="副标题 字符"/>
    <w:link w:val="8"/>
    <w:qFormat/>
    <w:uiPriority w:val="11"/>
    <w:rPr>
      <w:rFonts w:ascii="Cambria" w:hAnsi="Cambria" w:cs="Times New Roman"/>
      <w:b/>
      <w:bCs/>
      <w:kern w:val="28"/>
      <w:sz w:val="32"/>
      <w:szCs w:val="32"/>
    </w:rPr>
  </w:style>
  <w:style w:type="character" w:customStyle="1" w:styleId="20">
    <w:name w:val="标题 字符"/>
    <w:link w:val="9"/>
    <w:qFormat/>
    <w:uiPriority w:val="0"/>
    <w:rPr>
      <w:rFonts w:ascii="Cambria" w:hAnsi="Cambria" w:cs="Times New Roman"/>
      <w:b/>
      <w:bCs/>
      <w:kern w:val="2"/>
      <w:sz w:val="32"/>
      <w:szCs w:val="32"/>
    </w:rPr>
  </w:style>
  <w:style w:type="character" w:customStyle="1" w:styleId="21">
    <w:name w:val="批注主题 字符"/>
    <w:link w:val="10"/>
    <w:semiHidden/>
    <w:qFormat/>
    <w:uiPriority w:val="99"/>
    <w:rPr>
      <w:b/>
      <w:bCs/>
      <w:kern w:val="2"/>
      <w:sz w:val="32"/>
      <w:szCs w:val="24"/>
    </w:rPr>
  </w:style>
  <w:style w:type="character" w:customStyle="1" w:styleId="22">
    <w:name w:val="p0{858D7CFB-ED40-4347-BF05-701D383B685F}"/>
    <w:link w:val="23"/>
    <w:qFormat/>
    <w:uiPriority w:val="0"/>
    <w:rPr>
      <w:kern w:val="0"/>
      <w:szCs w:val="21"/>
    </w:rPr>
  </w:style>
  <w:style w:type="paragraph" w:customStyle="1" w:styleId="23">
    <w:name w:val="p0"/>
    <w:basedOn w:val="1"/>
    <w:link w:val="22"/>
    <w:qFormat/>
    <w:uiPriority w:val="0"/>
    <w:pPr>
      <w:widowControl/>
    </w:pPr>
    <w:rPr>
      <w:kern w:val="0"/>
      <w:sz w:val="20"/>
      <w:szCs w:val="21"/>
    </w:rPr>
  </w:style>
  <w:style w:type="character" w:customStyle="1" w:styleId="24">
    <w:name w:val="样式 仿宋 三号 Char"/>
    <w:qFormat/>
    <w:uiPriority w:val="0"/>
    <w:rPr>
      <w:rFonts w:ascii="仿宋" w:hAnsi="仿宋" w:eastAsia="仿宋" w:cs="宋体"/>
      <w:kern w:val="2"/>
      <w:sz w:val="32"/>
      <w:lang w:val="en-US" w:eastAsia="zh-CN" w:bidi="ar-SA"/>
    </w:rPr>
  </w:style>
  <w:style w:type="character" w:customStyle="1" w:styleId="25">
    <w:name w:val="page number"/>
    <w:qFormat/>
    <w:uiPriority w:val="0"/>
  </w:style>
  <w:style w:type="paragraph" w:customStyle="1" w:styleId="26">
    <w:name w:val="p17"/>
    <w:basedOn w:val="1"/>
    <w:qFormat/>
    <w:uiPriority w:val="0"/>
    <w:pPr>
      <w:widowControl/>
    </w:pPr>
    <w:rPr>
      <w:rFonts w:ascii="宋体" w:hAnsi="宋体" w:cs="宋体"/>
      <w:kern w:val="0"/>
      <w:szCs w:val="21"/>
    </w:rPr>
  </w:style>
  <w:style w:type="paragraph" w:customStyle="1" w:styleId="27">
    <w:name w:val=" Char Char Char Char"/>
    <w:basedOn w:val="1"/>
    <w:qFormat/>
    <w:uiPriority w:val="0"/>
  </w:style>
  <w:style w:type="paragraph" w:customStyle="1" w:styleId="28">
    <w:name w:val=" Char"/>
    <w:basedOn w:val="1"/>
    <w:qFormat/>
    <w:uiPriority w:val="0"/>
    <w:pPr>
      <w:widowControl/>
      <w:jc w:val="left"/>
    </w:pPr>
  </w:style>
  <w:style w:type="paragraph" w:customStyle="1" w:styleId="29">
    <w:name w:val="Char"/>
    <w:basedOn w:val="1"/>
    <w:qFormat/>
    <w:uiPriority w:val="0"/>
    <w:pPr>
      <w:widowControl/>
      <w:jc w:val="left"/>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C754B-FD83-4DC7-A147-419F1DB0584D}">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4574</Words>
  <Characters>4942</Characters>
  <Lines>98</Lines>
  <Paragraphs>27</Paragraphs>
  <TotalTime>4</TotalTime>
  <ScaleCrop>false</ScaleCrop>
  <LinksUpToDate>false</LinksUpToDate>
  <CharactersWithSpaces>5327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2022-11-01T09:28:00Z</dcterms:created>
  <dcterms:modified xsi:type="dcterms:W3CDTF">2022-11-19T05:02:39Z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89BF036AF29A489FBB4E5137E483655C</vt:lpwstr>
  </property>
</Properties>
</file>