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63CBC">
      <w:pPr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青岛市即墨区华山路小学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202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5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-202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学年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六年级数学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教学研究活动及成果</w:t>
      </w:r>
    </w:p>
    <w:p w14:paraId="402BD52F">
      <w:pPr>
        <w:spacing w:line="560" w:lineRule="exact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参加人员：全体</w:t>
      </w:r>
      <w:r>
        <w:rPr>
          <w:rFonts w:hint="eastAsia" w:ascii="仿宋_GB2312" w:hAnsi="仿宋_GB2312" w:cs="仿宋_GB2312"/>
          <w:szCs w:val="32"/>
          <w:lang w:val="en-US" w:eastAsia="zh-CN"/>
        </w:rPr>
        <w:t>六年级数学</w:t>
      </w:r>
      <w:r>
        <w:rPr>
          <w:rFonts w:hint="eastAsia" w:ascii="仿宋_GB2312" w:hAnsi="仿宋_GB2312" w:cs="仿宋_GB2312"/>
          <w:szCs w:val="32"/>
        </w:rPr>
        <w:t>教师</w:t>
      </w:r>
    </w:p>
    <w:p w14:paraId="59C7E4F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时间：202</w:t>
      </w:r>
      <w:r>
        <w:rPr>
          <w:rFonts w:hint="eastAsia" w:ascii="仿宋_GB2312" w:hAnsi="仿宋_GB2312" w:cs="仿宋_GB2312"/>
          <w:szCs w:val="32"/>
          <w:lang w:val="en-US" w:eastAsia="zh-CN"/>
        </w:rPr>
        <w:t>6</w:t>
      </w:r>
      <w:r>
        <w:rPr>
          <w:rFonts w:hint="eastAsia" w:ascii="仿宋_GB2312" w:hAnsi="仿宋_GB2312" w:cs="仿宋_GB2312"/>
          <w:szCs w:val="32"/>
        </w:rPr>
        <w:t>年</w:t>
      </w:r>
      <w:r>
        <w:rPr>
          <w:rFonts w:hint="eastAsia" w:ascii="仿宋_GB2312" w:hAnsi="仿宋_GB2312" w:cs="仿宋_GB231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Cs w:val="32"/>
        </w:rPr>
        <w:t>月</w:t>
      </w:r>
      <w:r>
        <w:rPr>
          <w:rFonts w:hint="eastAsia" w:ascii="仿宋_GB2312" w:hAnsi="仿宋_GB2312" w:cs="仿宋_GB2312"/>
          <w:szCs w:val="32"/>
          <w:lang w:val="en-US" w:eastAsia="zh-CN"/>
        </w:rPr>
        <w:t>31日</w:t>
      </w:r>
    </w:p>
    <w:p w14:paraId="34926BB4">
      <w:pPr>
        <w:spacing w:line="560" w:lineRule="exact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缺席人员及原因：无</w:t>
      </w:r>
    </w:p>
    <w:p w14:paraId="470355A8">
      <w:pPr>
        <w:spacing w:line="560" w:lineRule="exact"/>
        <w:ind w:firstLine="64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_GB2312" w:hAnsi="仿宋_GB2312" w:cs="仿宋_GB2312"/>
          <w:szCs w:val="32"/>
        </w:rPr>
        <w:t>教学研究活动主题：</w:t>
      </w:r>
      <w:r>
        <w:rPr>
          <w:rFonts w:hint="eastAsia" w:ascii="仿宋_GB2312" w:hAnsi="仿宋_GB2312" w:cs="仿宋_GB2312"/>
          <w:szCs w:val="32"/>
          <w:lang w:eastAsia="zh-CN"/>
        </w:rPr>
        <w:t>《</w:t>
      </w:r>
      <w:r>
        <w:rPr>
          <w:rFonts w:hint="eastAsia" w:ascii="仿宋_GB2312" w:hAnsi="仿宋_GB2312" w:cs="仿宋_GB2312"/>
          <w:szCs w:val="32"/>
        </w:rPr>
        <w:t>比例</w:t>
      </w:r>
      <w:r>
        <w:rPr>
          <w:rFonts w:hint="eastAsia" w:ascii="仿宋_GB2312" w:hAnsi="仿宋_GB2312" w:cs="仿宋_GB2312"/>
          <w:szCs w:val="32"/>
          <w:lang w:eastAsia="zh-CN"/>
        </w:rPr>
        <w:t>》</w:t>
      </w:r>
      <w:r>
        <w:rPr>
          <w:rFonts w:hint="eastAsia" w:ascii="仿宋_GB2312" w:hAnsi="仿宋_GB2312" w:cs="仿宋_GB2312"/>
          <w:szCs w:val="32"/>
        </w:rPr>
        <w:t>单元教材解读与教学研讨</w:t>
      </w:r>
    </w:p>
    <w:p w14:paraId="54FBFDE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发言人：</w:t>
      </w:r>
      <w:r>
        <w:rPr>
          <w:rFonts w:hint="eastAsia" w:ascii="仿宋_GB2312" w:hAnsi="仿宋_GB2312" w:cs="仿宋_GB2312"/>
          <w:szCs w:val="32"/>
          <w:lang w:val="en-US" w:eastAsia="zh-CN"/>
        </w:rPr>
        <w:t>高健</w:t>
      </w:r>
    </w:p>
    <w:p w14:paraId="73402BF8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一、活动主题</w:t>
      </w:r>
    </w:p>
    <w:p w14:paraId="53DB6721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六年级数学比例单元教材解读与教学实施策略研讨</w:t>
      </w:r>
      <w:r>
        <w:rPr>
          <w:rFonts w:hint="eastAsia" w:ascii="黑体" w:hAnsi="黑体" w:eastAsia="黑体" w:cs="仿宋_GB2312"/>
          <w:szCs w:val="32"/>
        </w:rPr>
        <w:t xml:space="preserve"> </w:t>
      </w:r>
    </w:p>
    <w:p w14:paraId="5177D8E6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二、核心研讨方向</w:t>
      </w:r>
    </w:p>
    <w:p w14:paraId="7D627E60">
      <w:pPr>
        <w:spacing w:line="560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</w:t>
      </w:r>
      <w:r>
        <w:rPr>
          <w:rFonts w:hint="eastAsia" w:ascii="仿宋_GB2312" w:hAnsi="仿宋_GB2312" w:cs="仿宋_GB2312"/>
          <w:szCs w:val="32"/>
          <w:lang w:val="en-US" w:eastAsia="zh-CN"/>
        </w:rPr>
        <w:t>1.</w:t>
      </w:r>
      <w:r>
        <w:rPr>
          <w:rFonts w:hint="eastAsia" w:ascii="仿宋_GB2312" w:hAnsi="仿宋_GB2312" w:cs="仿宋_GB2312"/>
          <w:szCs w:val="32"/>
        </w:rPr>
        <w:t>单元整体定位：明确比例单元在小学数学知识体系中的衔接作用，梳理与 “比”“函数思想” 的关联，明晰教学重难点。</w:t>
      </w:r>
    </w:p>
    <w:p w14:paraId="5F8AEE77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2.</w:t>
      </w:r>
      <w:r>
        <w:rPr>
          <w:rFonts w:hint="eastAsia" w:ascii="仿宋_GB2312" w:hAnsi="仿宋_GB2312" w:cs="仿宋_GB2312"/>
          <w:szCs w:val="32"/>
        </w:rPr>
        <w:t>教材内容解析：拆解比例意义、正反比例、解比例及实际应用四大模块，细化各信息窗知识点、例题设计意图与练习价值。</w:t>
      </w:r>
    </w:p>
    <w:p w14:paraId="7D6D97A5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3.</w:t>
      </w:r>
      <w:r>
        <w:rPr>
          <w:rFonts w:hint="eastAsia" w:ascii="仿宋_GB2312" w:hAnsi="仿宋_GB2312" w:cs="仿宋_GB2312"/>
          <w:szCs w:val="32"/>
        </w:rPr>
        <w:t>教学策略优化：围绕概念建构、重难点突破、函数思想渗透，探讨适配六年级学生认知的教学方法与素材运用技巧。</w:t>
      </w:r>
    </w:p>
    <w:p w14:paraId="6D300F2A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4.</w:t>
      </w:r>
      <w:r>
        <w:rPr>
          <w:rFonts w:hint="eastAsia" w:ascii="仿宋_GB2312" w:hAnsi="仿宋_GB2312" w:cs="仿宋_GB2312"/>
          <w:szCs w:val="32"/>
        </w:rPr>
        <w:t>易错点与应对：梳理正反比例判断、实际问题列式、解比例计算等高频易错点，交流针对性教学与练习设计策略</w:t>
      </w:r>
    </w:p>
    <w:p w14:paraId="54AD964E">
      <w:pPr>
        <w:spacing w:line="560" w:lineRule="exact"/>
        <w:ind w:firstLine="640" w:firstLineChars="20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 xml:space="preserve"> 三、研讨形式建议</w:t>
      </w:r>
    </w:p>
    <w:p w14:paraId="24657CD9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1.</w:t>
      </w:r>
      <w:r>
        <w:rPr>
          <w:rFonts w:hint="eastAsia" w:ascii="仿宋_GB2312" w:hAnsi="仿宋_GB2312" w:cs="仿宋_GB2312"/>
          <w:szCs w:val="32"/>
        </w:rPr>
        <w:t>教材精读研讨：分组拆解 4 个信息窗内容，梳理知识点脉络、例题逻辑链，提炼各环节教学关键问题。</w:t>
      </w:r>
    </w:p>
    <w:p w14:paraId="7FA232B2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2.</w:t>
      </w:r>
      <w:r>
        <w:rPr>
          <w:rFonts w:hint="eastAsia" w:ascii="仿宋_GB2312" w:hAnsi="仿宋_GB2312" w:cs="仿宋_GB2312"/>
          <w:szCs w:val="32"/>
        </w:rPr>
        <w:t>重难点突破沙龙：聚焦 “正反比例判断” 核心难点，结合具体案例，交流概念辨析、对比教学、实例迁移的实操方法。</w:t>
      </w:r>
    </w:p>
    <w:p w14:paraId="4AEA7293">
      <w:pPr>
        <w:spacing w:line="560" w:lineRule="exact"/>
        <w:ind w:firstLine="960" w:firstLineChars="3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3.</w:t>
      </w:r>
      <w:r>
        <w:rPr>
          <w:rFonts w:hint="eastAsia" w:ascii="仿宋_GB2312" w:hAnsi="仿宋_GB2312" w:cs="仿宋_GB2312"/>
          <w:szCs w:val="32"/>
        </w:rPr>
        <w:t>教学案例分享：选取比例意义建构、正比例图像解读、反比例实际应用等典型课例，分享教学设计、课堂生成与改进思路。</w:t>
      </w:r>
    </w:p>
    <w:p w14:paraId="6AAEE9A4">
      <w:pPr>
        <w:spacing w:line="560" w:lineRule="exact"/>
        <w:ind w:firstLine="960" w:firstLineChars="300"/>
        <w:rPr>
          <w:rFonts w:hint="eastAsia" w:ascii="黑体" w:hAnsi="黑体" w:eastAsia="黑体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4.</w:t>
      </w:r>
      <w:r>
        <w:rPr>
          <w:rFonts w:hint="eastAsia" w:ascii="仿宋_GB2312" w:hAnsi="仿宋_GB2312" w:cs="仿宋_GB2312"/>
          <w:szCs w:val="32"/>
        </w:rPr>
        <w:t xml:space="preserve">易错习题研讨：汇总单元高频错题，分析错误成因，共同设计分层练习、对比练习，强化知识理解与应用能力。 </w:t>
      </w:r>
      <w:r>
        <w:rPr>
          <w:rFonts w:hint="eastAsia" w:ascii="黑体" w:hAnsi="黑体" w:eastAsia="黑体" w:cs="仿宋_GB2312"/>
          <w:szCs w:val="32"/>
        </w:rPr>
        <w:t>四、关键研讨问题</w:t>
      </w:r>
    </w:p>
    <w:p w14:paraId="6E8D74B1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如何借助学生已有的 “比” 的知识，自然过渡到比例概念，实现新旧知识的有效衔接？</w:t>
      </w:r>
    </w:p>
    <w:p w14:paraId="76FDCFF5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正反比例概念抽象，怎样通过具象数据、生活实例、图像直观，帮助学生准确区分两种比例关系？</w:t>
      </w:r>
    </w:p>
    <w:p w14:paraId="18C9D084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正比例图像教学中，如何平衡技能训练（描点、连线）与概念理解（变化规律、函数思想渗透）？</w:t>
      </w:r>
    </w:p>
    <w:p w14:paraId="76AA8A2C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用正反比例解决实际问题时，如何引导学生快速梳理数量关系、准确判断比例类型，避免列式混淆？</w:t>
      </w:r>
    </w:p>
    <w:p w14:paraId="11E0CAF7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如何结合生活素材（如运输、生产、几何图形），让学生感受比例知识的实用性，提升解决实际问题的能力？</w:t>
      </w:r>
    </w:p>
    <w:p w14:paraId="06CDCF1C">
      <w:pPr>
        <w:spacing w:line="560" w:lineRule="exact"/>
        <w:ind w:firstLine="480" w:firstLineChars="200"/>
        <w:jc w:val="left"/>
        <w:rPr>
          <w:rFonts w:hint="eastAsia" w:ascii="仿宋_GB2312" w:hAnsi="仿宋_GB2312" w:cs="仿宋_GB2312"/>
          <w:szCs w:val="32"/>
        </w:rPr>
      </w:pPr>
      <w:bookmarkStart w:id="0" w:name="_GoBack"/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981710</wp:posOffset>
            </wp:positionH>
            <wp:positionV relativeFrom="paragraph">
              <wp:posOffset>205740</wp:posOffset>
            </wp:positionV>
            <wp:extent cx="3665220" cy="2374900"/>
            <wp:effectExtent l="0" t="0" r="11430" b="6350"/>
            <wp:wrapSquare wrapText="bothSides"/>
            <wp:docPr id="1" name="图片 1" descr="7e41228273ea80fc4185cee85cb83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e41228273ea80fc4185cee85cb83c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D5"/>
    <w:rsid w:val="00046309"/>
    <w:rsid w:val="0008021E"/>
    <w:rsid w:val="000C66E6"/>
    <w:rsid w:val="001F4C73"/>
    <w:rsid w:val="00443160"/>
    <w:rsid w:val="00444443"/>
    <w:rsid w:val="0062271F"/>
    <w:rsid w:val="008916D5"/>
    <w:rsid w:val="00987F31"/>
    <w:rsid w:val="009B718E"/>
    <w:rsid w:val="00AB0998"/>
    <w:rsid w:val="00B22DB7"/>
    <w:rsid w:val="00B505F4"/>
    <w:rsid w:val="00B51218"/>
    <w:rsid w:val="00BB2913"/>
    <w:rsid w:val="00CC00A1"/>
    <w:rsid w:val="00D80561"/>
    <w:rsid w:val="00E230E5"/>
    <w:rsid w:val="00E816CE"/>
    <w:rsid w:val="00E952DC"/>
    <w:rsid w:val="00F97112"/>
    <w:rsid w:val="00FC562A"/>
    <w:rsid w:val="3700741A"/>
    <w:rsid w:val="451D0E98"/>
    <w:rsid w:val="662B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665</Characters>
  <Lines>4</Lines>
  <Paragraphs>1</Paragraphs>
  <TotalTime>0</TotalTime>
  <ScaleCrop>false</ScaleCrop>
  <LinksUpToDate>false</LinksUpToDate>
  <CharactersWithSpaces>670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2022-09-13T04:37:00Z</dcterms:created>
  <dc:creator>Administrator</dc:creator>
  <cp:lastModifiedBy>高健</cp:lastModifiedBy>
  <cp:lastPrinted>2022-09-07T01:15:00Z</cp:lastPrinted>
  <dcterms:modified xsi:type="dcterms:W3CDTF">2026-05-21T08:55:59Z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9B4A83E98AE34E3897CB778ACBCE2566_13</vt:lpwstr>
  </property>
  <property fmtid="{D5CDD505-2E9C-101B-9397-08002B2CF9AE}" pid="4" name="KSOTemplateDocerSaveRecord">
    <vt:lpwstr>eyJoZGlkIjoiNWIxMjM0YTAwYTBkYmJiNTNiNzQ4MWIzNDRkMjViOTEiLCJ1c2VySWQiOiIzNzcwMzEwNzkifQ==</vt:lpwstr>
  </property>
</Properties>
</file>