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spacing w:before="360" w:after="240"/>
        <w:ind w:firstLine="0" w:firstLineChars="0"/>
        <w:jc w:val="both"/>
        <w:rPr>
          <w:rFonts w:ascii="黑体" w:hAnsi="黑体" w:eastAsia="黑体"/>
          <w:b w:val="0"/>
          <w:color w:val="000000"/>
          <w:sz w:val="44"/>
          <w:szCs w:val="44"/>
        </w:rPr>
      </w:pPr>
    </w:p>
    <w:p>
      <w:pPr>
        <w:spacing w:line="560" w:lineRule="exact"/>
        <w:jc w:val="both"/>
        <w:rPr>
          <w:rFonts w:ascii="黑体" w:hAnsi="黑体" w:eastAsia="黑体" w:cs="Times New Roman"/>
          <w:bCs/>
          <w:caps/>
          <w:color w:val="000000"/>
          <w:kern w:val="2"/>
          <w:sz w:val="44"/>
          <w:szCs w:val="44"/>
        </w:rPr>
      </w:pPr>
    </w:p>
    <w:p>
      <w:pPr>
        <w:spacing w:line="560" w:lineRule="exact"/>
        <w:jc w:val="both"/>
      </w:pPr>
    </w:p>
    <w:p>
      <w:pPr>
        <w:pStyle w:val="26"/>
        <w:spacing w:before="360" w:after="240"/>
        <w:ind w:firstLine="0" w:firstLineChars="0"/>
        <w:jc w:val="center"/>
        <w:rPr>
          <w:rFonts w:ascii="黑体" w:hAnsi="黑体" w:eastAsia="黑体"/>
          <w:b w:val="0"/>
          <w:color w:val="000000"/>
          <w:sz w:val="44"/>
          <w:szCs w:val="44"/>
        </w:rPr>
      </w:pPr>
      <w:r>
        <w:rPr>
          <w:rFonts w:hint="eastAsia" w:ascii="黑体" w:hAnsi="黑体" w:eastAsia="黑体"/>
          <w:b w:val="0"/>
          <w:color w:val="000000"/>
          <w:sz w:val="44"/>
          <w:szCs w:val="44"/>
        </w:rPr>
        <w:t>2019年城区照明设施养护和电费经费</w:t>
      </w:r>
    </w:p>
    <w:p>
      <w:pPr>
        <w:pStyle w:val="26"/>
        <w:spacing w:before="360" w:after="240"/>
        <w:ind w:firstLine="0" w:firstLineChars="0"/>
        <w:jc w:val="center"/>
        <w:rPr>
          <w:rFonts w:ascii="黑体" w:hAnsi="黑体" w:eastAsia="黑体"/>
          <w:b w:val="0"/>
          <w:color w:val="000000"/>
          <w:sz w:val="44"/>
          <w:szCs w:val="44"/>
        </w:rPr>
      </w:pPr>
      <w:r>
        <w:rPr>
          <w:rFonts w:hint="eastAsia" w:ascii="黑体" w:hAnsi="黑体" w:eastAsia="黑体"/>
          <w:b w:val="0"/>
          <w:color w:val="000000"/>
          <w:sz w:val="44"/>
          <w:szCs w:val="44"/>
        </w:rPr>
        <w:t>专项资金</w:t>
      </w:r>
      <w:r>
        <w:rPr>
          <w:rFonts w:ascii="黑体" w:hAnsi="黑体" w:eastAsia="黑体"/>
          <w:b w:val="0"/>
          <w:color w:val="000000"/>
          <w:sz w:val="44"/>
          <w:szCs w:val="44"/>
        </w:rPr>
        <w:t>绩效评价</w:t>
      </w:r>
      <w:r>
        <w:rPr>
          <w:rFonts w:hint="eastAsia" w:ascii="黑体" w:hAnsi="黑体" w:eastAsia="黑体"/>
          <w:b w:val="0"/>
          <w:color w:val="000000"/>
          <w:sz w:val="44"/>
          <w:szCs w:val="44"/>
        </w:rPr>
        <w:t>报告</w:t>
      </w:r>
    </w:p>
    <w:p>
      <w:pPr>
        <w:spacing w:line="560" w:lineRule="exact"/>
        <w:jc w:val="both"/>
        <w:rPr>
          <w:rFonts w:ascii="黑体" w:hAnsi="黑体" w:eastAsia="黑体"/>
          <w:sz w:val="44"/>
          <w:szCs w:val="28"/>
        </w:rPr>
      </w:pPr>
    </w:p>
    <w:p>
      <w:pPr>
        <w:spacing w:line="560" w:lineRule="exact"/>
        <w:jc w:val="both"/>
        <w:rPr>
          <w:rFonts w:ascii="黑体" w:hAnsi="黑体" w:eastAsia="黑体"/>
          <w:sz w:val="44"/>
          <w:szCs w:val="28"/>
        </w:rPr>
      </w:pPr>
    </w:p>
    <w:p>
      <w:pPr>
        <w:spacing w:line="560" w:lineRule="exact"/>
        <w:jc w:val="both"/>
        <w:rPr>
          <w:rFonts w:ascii="黑体" w:hAnsi="黑体" w:eastAsia="黑体"/>
          <w:sz w:val="44"/>
          <w:szCs w:val="28"/>
        </w:rPr>
      </w:pPr>
    </w:p>
    <w:p>
      <w:pPr>
        <w:spacing w:line="560" w:lineRule="exact"/>
        <w:jc w:val="both"/>
        <w:rPr>
          <w:rFonts w:ascii="黑体" w:hAnsi="黑体" w:eastAsia="黑体"/>
          <w:sz w:val="44"/>
          <w:szCs w:val="28"/>
        </w:rPr>
      </w:pPr>
    </w:p>
    <w:p>
      <w:pPr>
        <w:spacing w:line="570" w:lineRule="exact"/>
        <w:ind w:firstLine="800" w:firstLineChars="250"/>
        <w:rPr>
          <w:rFonts w:ascii="黑体" w:hAnsi="黑体" w:eastAsia="黑体"/>
          <w:sz w:val="32"/>
          <w:szCs w:val="32"/>
        </w:rPr>
      </w:pPr>
      <w:r>
        <w:rPr>
          <w:rFonts w:hint="eastAsia" w:ascii="黑体" w:hAnsi="黑体" w:eastAsia="黑体"/>
          <w:sz w:val="32"/>
          <w:szCs w:val="32"/>
        </w:rPr>
        <w:t>项目主管部门：青岛市即墨区住房和城乡建设局</w:t>
      </w:r>
    </w:p>
    <w:p>
      <w:pPr>
        <w:spacing w:line="570" w:lineRule="exact"/>
        <w:ind w:firstLine="800" w:firstLineChars="250"/>
        <w:rPr>
          <w:rFonts w:ascii="黑体" w:hAnsi="黑体" w:eastAsia="黑体"/>
          <w:sz w:val="32"/>
          <w:szCs w:val="32"/>
        </w:rPr>
      </w:pPr>
      <w:bookmarkStart w:id="0" w:name="_Hlk45779781"/>
      <w:r>
        <w:rPr>
          <w:rFonts w:hint="eastAsia" w:ascii="黑体" w:hAnsi="黑体" w:eastAsia="黑体"/>
          <w:sz w:val="32"/>
          <w:szCs w:val="32"/>
        </w:rPr>
        <w:t>项目承担单位</w:t>
      </w:r>
      <w:r>
        <w:rPr>
          <w:rFonts w:ascii="黑体" w:hAnsi="黑体" w:eastAsia="黑体"/>
          <w:sz w:val="32"/>
          <w:szCs w:val="32"/>
        </w:rPr>
        <w:t>：</w:t>
      </w:r>
      <w:bookmarkStart w:id="1" w:name="_Hlk46685963"/>
      <w:r>
        <w:rPr>
          <w:rFonts w:hint="eastAsia" w:ascii="黑体" w:hAnsi="黑体" w:eastAsia="黑体"/>
          <w:sz w:val="32"/>
          <w:szCs w:val="32"/>
        </w:rPr>
        <w:t>青岛市即墨区</w:t>
      </w:r>
      <w:bookmarkEnd w:id="1"/>
      <w:r>
        <w:rPr>
          <w:rFonts w:hint="eastAsia" w:ascii="黑体" w:hAnsi="黑体" w:eastAsia="黑体"/>
          <w:sz w:val="32"/>
          <w:szCs w:val="32"/>
        </w:rPr>
        <w:t>市政公用事业服务中心</w:t>
      </w:r>
    </w:p>
    <w:bookmarkEnd w:id="0"/>
    <w:p>
      <w:pPr>
        <w:spacing w:line="570" w:lineRule="exact"/>
        <w:ind w:firstLine="800" w:firstLineChars="250"/>
        <w:rPr>
          <w:rFonts w:ascii="黑体" w:hAnsi="黑体" w:eastAsia="黑体"/>
          <w:sz w:val="32"/>
          <w:szCs w:val="32"/>
        </w:rPr>
      </w:pPr>
      <w:bookmarkStart w:id="2" w:name="_Hlk45779787"/>
      <w:r>
        <w:rPr>
          <w:rFonts w:hint="eastAsia" w:ascii="黑体" w:hAnsi="黑体" w:eastAsia="黑体"/>
          <w:sz w:val="32"/>
          <w:szCs w:val="32"/>
        </w:rPr>
        <w:t>委 托 单 位</w:t>
      </w:r>
      <w:r>
        <w:rPr>
          <w:rFonts w:ascii="黑体" w:hAnsi="黑体" w:eastAsia="黑体"/>
          <w:sz w:val="32"/>
          <w:szCs w:val="32"/>
        </w:rPr>
        <w:t>：</w:t>
      </w:r>
      <w:r>
        <w:rPr>
          <w:rFonts w:hint="eastAsia" w:ascii="黑体" w:hAnsi="黑体" w:eastAsia="黑体"/>
          <w:sz w:val="32"/>
          <w:szCs w:val="32"/>
        </w:rPr>
        <w:t>青岛市即墨区财政局</w:t>
      </w:r>
    </w:p>
    <w:p>
      <w:pPr>
        <w:spacing w:line="570" w:lineRule="exact"/>
        <w:ind w:firstLine="800" w:firstLineChars="250"/>
        <w:rPr>
          <w:rFonts w:ascii="黑体" w:hAnsi="黑体" w:eastAsia="黑体"/>
          <w:sz w:val="32"/>
          <w:szCs w:val="32"/>
        </w:rPr>
      </w:pPr>
      <w:r>
        <w:rPr>
          <w:rFonts w:hint="eastAsia" w:ascii="黑体" w:hAnsi="黑体" w:eastAsia="黑体"/>
          <w:sz w:val="32"/>
          <w:szCs w:val="32"/>
        </w:rPr>
        <w:t>评 价 机 构：青岛同盛建设项目管理有限公司</w:t>
      </w:r>
    </w:p>
    <w:bookmarkEnd w:id="2"/>
    <w:p>
      <w:pPr>
        <w:spacing w:line="560" w:lineRule="exact"/>
        <w:jc w:val="center"/>
        <w:rPr>
          <w:rFonts w:ascii="黑体" w:hAnsi="黑体" w:eastAsia="黑体"/>
          <w:sz w:val="32"/>
          <w:szCs w:val="32"/>
        </w:rPr>
      </w:pPr>
    </w:p>
    <w:p>
      <w:pPr>
        <w:spacing w:line="560" w:lineRule="exact"/>
        <w:jc w:val="center"/>
        <w:rPr>
          <w:rFonts w:ascii="黑体" w:hAnsi="黑体" w:eastAsia="黑体"/>
          <w:sz w:val="32"/>
          <w:szCs w:val="32"/>
        </w:rPr>
      </w:pPr>
      <w:r>
        <w:rPr>
          <w:rFonts w:hint="eastAsia" w:ascii="黑体" w:hAnsi="黑体" w:eastAsia="黑体"/>
          <w:sz w:val="32"/>
          <w:szCs w:val="32"/>
        </w:rPr>
        <w:t>二〇二〇年十一月</w:t>
      </w:r>
    </w:p>
    <w:p>
      <w:pPr>
        <w:spacing w:line="560" w:lineRule="exact"/>
        <w:ind w:firstLine="2880" w:firstLineChars="900"/>
        <w:rPr>
          <w:rFonts w:ascii="黑体" w:hAnsi="黑体" w:eastAsia="黑体"/>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1587" w:gutter="0"/>
          <w:pgNumType w:fmt="upperRoman" w:start="1"/>
          <w:cols w:space="720" w:num="1"/>
          <w:docGrid w:linePitch="381" w:charSpace="0"/>
        </w:sectPr>
      </w:pPr>
    </w:p>
    <w:p>
      <w:pPr>
        <w:pStyle w:val="2"/>
        <w:jc w:val="center"/>
        <w:rPr>
          <w:rFonts w:ascii="方正小标宋简体" w:eastAsia="方正小标宋简体" w:hAnsiTheme="majorEastAsia"/>
          <w:sz w:val="44"/>
        </w:rPr>
      </w:pPr>
      <w:bookmarkStart w:id="3" w:name="_Toc57801824"/>
      <w:bookmarkStart w:id="7" w:name="_GoBack"/>
      <w:bookmarkEnd w:id="7"/>
      <w:r>
        <w:rPr>
          <w:rFonts w:hint="eastAsia" w:ascii="方正小标宋简体" w:eastAsia="方正小标宋简体" w:hAnsiTheme="majorEastAsia"/>
          <w:sz w:val="44"/>
        </w:rPr>
        <w:t>摘要</w:t>
      </w:r>
      <w:bookmarkEnd w:id="3"/>
    </w:p>
    <w:p>
      <w:pPr>
        <w:spacing w:after="0" w:line="570" w:lineRule="exact"/>
        <w:ind w:firstLine="641"/>
        <w:jc w:val="both"/>
        <w:rPr>
          <w:rFonts w:ascii="仿宋_GB2312" w:hAnsi="仿宋" w:eastAsia="仿宋_GB2312" w:cs="Times New Roman"/>
          <w:sz w:val="32"/>
          <w:szCs w:val="32"/>
        </w:rPr>
      </w:pPr>
      <w:r>
        <w:rPr>
          <w:rFonts w:hint="eastAsia" w:ascii="仿宋_GB2312" w:hAnsi="仿宋" w:eastAsia="仿宋_GB2312" w:cs="Times New Roman"/>
          <w:sz w:val="32"/>
          <w:szCs w:val="32"/>
        </w:rPr>
        <w:t>为贯彻落实《中共中央 国务院关于全面实施预算绩效管理的意见》（中发[2018]34号）精神，根据《中华人民共和国预算法》、</w:t>
      </w:r>
      <w:bookmarkStart w:id="4" w:name="_Hlk45782492"/>
      <w:r>
        <w:rPr>
          <w:rFonts w:hint="eastAsia" w:ascii="仿宋_GB2312" w:hAnsi="仿宋" w:eastAsia="仿宋_GB2312" w:cs="Times New Roman"/>
          <w:sz w:val="32"/>
          <w:szCs w:val="32"/>
        </w:rPr>
        <w:t>《青岛市预算绩效管理条例》、</w:t>
      </w:r>
      <w:bookmarkStart w:id="5" w:name="sendSubject"/>
      <w:r>
        <w:rPr>
          <w:rFonts w:hint="eastAsia" w:ascii="仿宋_GB2312" w:hAnsi="仿宋" w:eastAsia="仿宋_GB2312" w:cs="Times New Roman"/>
          <w:sz w:val="32"/>
          <w:szCs w:val="32"/>
        </w:rPr>
        <w:t>《青岛市财政支出绩效评价管理办法》</w:t>
      </w:r>
      <w:bookmarkEnd w:id="5"/>
      <w:r>
        <w:rPr>
          <w:rFonts w:hint="eastAsia" w:ascii="仿宋_GB2312" w:hAnsi="仿宋" w:eastAsia="仿宋_GB2312" w:cs="Times New Roman"/>
          <w:sz w:val="32"/>
          <w:szCs w:val="32"/>
        </w:rPr>
        <w:t>等规定</w:t>
      </w:r>
      <w:bookmarkEnd w:id="4"/>
      <w:r>
        <w:rPr>
          <w:rFonts w:hint="eastAsia" w:ascii="仿宋_GB2312" w:hAnsi="仿宋" w:eastAsia="仿宋_GB2312" w:cs="Times New Roman"/>
          <w:sz w:val="32"/>
          <w:szCs w:val="32"/>
        </w:rPr>
        <w:t>，我机构接受青岛市即墨区财政局的委托</w:t>
      </w:r>
      <w:r>
        <w:rPr>
          <w:rFonts w:hint="eastAsia"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sz w:val="32"/>
          <w:szCs w:val="32"/>
        </w:rPr>
        <w:t>对即墨区城区照明设施养护和电费经费专项资金实施绩效评价。</w:t>
      </w:r>
      <w:r>
        <w:rPr>
          <w:rFonts w:hint="eastAsia" w:ascii="仿宋_GB2312" w:hAnsi="仿宋" w:eastAsia="仿宋_GB2312" w:cs="Times New Roman"/>
          <w:sz w:val="32"/>
          <w:szCs w:val="32"/>
        </w:rPr>
        <w:tab/>
      </w:r>
    </w:p>
    <w:p>
      <w:pPr>
        <w:spacing w:after="0" w:line="570" w:lineRule="exact"/>
        <w:ind w:firstLine="641"/>
        <w:jc w:val="both"/>
        <w:rPr>
          <w:rFonts w:ascii="仿宋_GB2312" w:hAnsi="仿宋" w:eastAsia="仿宋_GB2312"/>
          <w:sz w:val="32"/>
          <w:szCs w:val="32"/>
        </w:rPr>
      </w:pPr>
      <w:r>
        <w:rPr>
          <w:rFonts w:hint="eastAsia" w:ascii="仿宋_GB2312" w:eastAsia="仿宋_GB2312"/>
        </w:rPr>
        <w:tab/>
      </w:r>
      <w:r>
        <w:rPr>
          <w:rFonts w:hint="eastAsia" w:ascii="仿宋_GB2312" w:hAnsi="仿宋" w:eastAsia="仿宋_GB2312" w:cs="Times New Roman"/>
          <w:sz w:val="32"/>
          <w:szCs w:val="32"/>
        </w:rPr>
        <w:t>即墨区城区照明设施养护和电费经费专项资金自2010年设立，</w:t>
      </w:r>
      <w:r>
        <w:rPr>
          <w:rFonts w:hint="eastAsia" w:ascii="仿宋_GB2312" w:hAnsi="仿宋" w:eastAsia="仿宋_GB2312"/>
          <w:sz w:val="32"/>
          <w:szCs w:val="32"/>
        </w:rPr>
        <w:t>根据《山东省城市道路照明设施养护维修服务规范》第八条“道路照明设施日常养护维修所需的资金，应列入各级政府财政预算，做到专款专用，足额拨付，并接受相关部门的监督”之规定设立。</w:t>
      </w:r>
      <w:r>
        <w:rPr>
          <w:rFonts w:hint="eastAsia" w:ascii="仿宋_GB2312" w:hAnsi="仿宋" w:eastAsia="仿宋_GB2312" w:cs="Times New Roman"/>
          <w:sz w:val="32"/>
          <w:szCs w:val="32"/>
        </w:rPr>
        <w:t>青岛市即墨区住房和城乡建设局</w:t>
      </w:r>
      <w:r>
        <w:rPr>
          <w:rFonts w:hint="eastAsia" w:ascii="仿宋_GB2312" w:hAnsi="仿宋" w:eastAsia="仿宋_GB2312"/>
          <w:sz w:val="32"/>
          <w:szCs w:val="32"/>
        </w:rPr>
        <w:t>按照《即墨市人民政府关于扩大城区卫生保洁、垃圾清运、园林绿化和市政设施统一管理范围的通知》（即政发[2013]27号）和青岛市即墨区财政局关于区住房和城乡建设局《关于对我区2019年度道路照明设施养护管理进行政府采购的请示》（即财建督[2019]23号）的办理意见，申请该专项资金用于对城区81条道路照明设施进行管护。实施单位依据住建部《城市道路照明设施管理规定》等相关规定，对城市道路照明设施按照年度开展养护管理工作。</w:t>
      </w:r>
    </w:p>
    <w:p>
      <w:pPr>
        <w:spacing w:after="0" w:line="570" w:lineRule="exact"/>
        <w:ind w:firstLine="640" w:firstLineChars="200"/>
        <w:jc w:val="both"/>
        <w:rPr>
          <w:rFonts w:ascii="仿宋_GB2312" w:hAnsi="仿宋" w:eastAsia="仿宋_GB2312"/>
          <w:sz w:val="32"/>
          <w:szCs w:val="32"/>
        </w:rPr>
      </w:pPr>
      <w:r>
        <w:rPr>
          <w:rFonts w:hint="eastAsia" w:ascii="仿宋_GB2312" w:hAnsi="仿宋" w:eastAsia="仿宋_GB2312"/>
          <w:sz w:val="32"/>
          <w:szCs w:val="32"/>
        </w:rPr>
        <w:t>该项资金</w:t>
      </w:r>
      <w:r>
        <w:rPr>
          <w:rFonts w:hint="eastAsia" w:ascii="仿宋_GB2312" w:hAnsi="仿宋" w:eastAsia="仿宋_GB2312" w:cs="Times New Roman"/>
          <w:sz w:val="32"/>
          <w:szCs w:val="32"/>
        </w:rPr>
        <w:t>主要用于城区市级统管照明设施的养护管理及电费支付。</w:t>
      </w:r>
      <w:r>
        <w:rPr>
          <w:rFonts w:hint="eastAsia" w:ascii="仿宋_GB2312" w:hAnsi="仿宋" w:eastAsia="仿宋_GB2312"/>
          <w:sz w:val="32"/>
          <w:szCs w:val="32"/>
        </w:rPr>
        <w:t>照明设施包括：城区市管81条道路路灯，范围为西起华山三路（石林三路），东至烟青一级路，北起青威路，南至城阳界，鹤山路延伸至滨海公路，蓝鳌路东到大村，西到青银高速；振华街桥、烟青路桥、二小过街天桥、德馨小学过街天桥、长江二路过街天桥桥头亮化、体育场灯、建设局楼体亮化、市政府楼体亮化及门前花灯。管控范围共包含灯杆8590支，光源13607盏，总功率4367千瓦/时，变压器94台，路灯控制箱40个。</w:t>
      </w:r>
      <w:r>
        <w:rPr>
          <w:rFonts w:hint="eastAsia" w:ascii="仿宋_GB2312" w:hAnsi="仿宋" w:eastAsia="仿宋_GB2312" w:cs="Times New Roman"/>
          <w:sz w:val="32"/>
          <w:szCs w:val="32"/>
        </w:rPr>
        <w:t>区市政公用事业服务中心通过青岛公共资源交易网平台以公开招标的形式组织政府采购，并与</w:t>
      </w:r>
      <w:r>
        <w:rPr>
          <w:rFonts w:hint="eastAsia" w:ascii="仿宋_GB2312" w:hAnsi="仿宋" w:eastAsia="仿宋_GB2312"/>
          <w:sz w:val="32"/>
          <w:szCs w:val="32"/>
        </w:rPr>
        <w:t>青岛创辉照明工程有限公司及</w:t>
      </w:r>
      <w:r>
        <w:rPr>
          <w:rFonts w:hint="eastAsia" w:ascii="仿宋_GB2312" w:hAnsi="仿宋" w:eastAsia="仿宋_GB2312" w:cs="Times New Roman"/>
          <w:sz w:val="32"/>
          <w:szCs w:val="32"/>
        </w:rPr>
        <w:t>青岛信九州市政园林工程有限公司两家中标公司正式签订养护采购合同，区市政公用事业服务中心</w:t>
      </w:r>
      <w:r>
        <w:rPr>
          <w:rFonts w:hint="eastAsia" w:ascii="仿宋_GB2312" w:hAnsi="仿宋" w:eastAsia="仿宋_GB2312"/>
          <w:sz w:val="32"/>
          <w:szCs w:val="32"/>
        </w:rPr>
        <w:t>依据合同将管护经费全额拨付至照明设施管护单位青岛创辉照明工程有限公司及</w:t>
      </w:r>
      <w:r>
        <w:rPr>
          <w:rFonts w:hint="eastAsia" w:ascii="仿宋_GB2312" w:hAnsi="仿宋" w:eastAsia="仿宋_GB2312" w:cs="Times New Roman"/>
          <w:sz w:val="32"/>
          <w:szCs w:val="32"/>
        </w:rPr>
        <w:t>青岛信九州市政园林工程有限公司；每月电费依据电费发票全额拨付至即墨区供电公司。</w:t>
      </w:r>
    </w:p>
    <w:p>
      <w:pPr>
        <w:spacing w:after="0" w:line="57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本项目主管部门为青岛市即墨区住房和城乡建设局（原即墨市城建局，下同），专项资金管理单位为青岛市即墨区市政公用事业服务中心（原即墨市市政公用事业管理处，下同），2019年1月1日-2019年4月30日与青岛创辉照明工程有限公司沿用2017-2018年度采购协议，签订合同进行管护。2019年3月29日，项目单位对照明设施管护组织实施年度采购程序，采购合同约定管护日期起止时间为2019年5月1日-2020年4月30日，具体管护单位为青岛创辉照明工程有限公司及青岛信九州市政园林工程有限公司。</w:t>
      </w:r>
    </w:p>
    <w:p>
      <w:pPr>
        <w:spacing w:after="0" w:line="57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即墨区市政公用事业服务中心将2019年城区照明设施养护和电费经费专项资金项目编入2019年部门预算专项资金经费，编制年度绩效目标，预算金额1640万元，经区财政局《关于批复2019年区级部门预算的通知》（即财预[2019]10号），将2019年专项资金批复给区市政公用事业服务中心。</w:t>
      </w:r>
    </w:p>
    <w:p>
      <w:pPr>
        <w:spacing w:after="0" w:line="57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管护单位青岛创辉照明工程有限公司、青岛信九州市政园林工程有限公司按照《城市道路照明管理规定》《城市道路照明设施养护维修服务规范》（DB37/T-2008）的要求对城区道路照明设施进行巡查维护，快速路、主干道亮灯率达98%，次干道、支路亮灯率达96%，街巷亮灯率达90%;城市道路照明设施完好率应达到98%以上；城市照明电杆、变压设备等各类照明设施应保持干净整洁，无乱贴乱画；保证照明设施正常安全运行。</w:t>
      </w:r>
    </w:p>
    <w:p>
      <w:pPr>
        <w:spacing w:after="0" w:line="570" w:lineRule="exact"/>
        <w:ind w:firstLine="641"/>
        <w:jc w:val="both"/>
        <w:rPr>
          <w:rFonts w:ascii="仿宋_GB2312" w:hAnsi="仿宋" w:eastAsia="仿宋_GB2312" w:cs="Times New Roman"/>
          <w:color w:val="FF0000"/>
          <w:sz w:val="32"/>
          <w:szCs w:val="32"/>
        </w:rPr>
      </w:pPr>
      <w:r>
        <w:rPr>
          <w:rFonts w:hint="eastAsia" w:ascii="仿宋_GB2312" w:hAnsi="仿宋" w:eastAsia="仿宋_GB2312" w:cs="Times New Roman"/>
          <w:sz w:val="32"/>
          <w:szCs w:val="32"/>
        </w:rPr>
        <w:t>本项目年度绩效目标“保证城区路灯、亮化等设施安全、正常运行，亮灯率达到98%”；区市政公用事业服务中心负责与管护单位之间按照合同约定和考核办法对照明设施养护工作进行日常监督和月度考核。</w:t>
      </w:r>
    </w:p>
    <w:p>
      <w:pPr>
        <w:spacing w:after="0" w:line="570" w:lineRule="exact"/>
        <w:ind w:firstLine="641"/>
        <w:jc w:val="both"/>
        <w:rPr>
          <w:rFonts w:ascii="仿宋_GB2312" w:hAnsi="仿宋" w:eastAsia="仿宋_GB2312" w:cs="Times New Roman"/>
          <w:sz w:val="32"/>
          <w:szCs w:val="32"/>
        </w:rPr>
      </w:pPr>
      <w:r>
        <w:rPr>
          <w:rFonts w:hint="eastAsia" w:ascii="仿宋_GB2312" w:hAnsi="仿宋" w:eastAsia="仿宋_GB2312" w:cs="Times New Roman"/>
          <w:sz w:val="32"/>
          <w:szCs w:val="32"/>
        </w:rPr>
        <w:t>2019年城区照明设施养护和电费经费专项资金实际拨付1427.48万元，拨付比例为87.04%，预算执行率为100%。本项目电费按实际产生用电费用据实支付，养护费按季度支付，养护采购区间为跨年度，非年初至年底整个年度，出现资金拨付金额与预算金额不一致的情况。</w:t>
      </w:r>
    </w:p>
    <w:p>
      <w:pPr>
        <w:pStyle w:val="30"/>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青岛市即墨区财政局</w:t>
      </w:r>
      <w:r>
        <w:rPr>
          <w:rFonts w:hint="eastAsia" w:ascii="仿宋_GB2312" w:hAnsi="仿宋" w:eastAsia="仿宋_GB2312"/>
          <w:sz w:val="32"/>
          <w:szCs w:val="32"/>
        </w:rPr>
        <w:t>于2020年8月21日印发</w:t>
      </w:r>
      <w:r>
        <w:rPr>
          <w:rFonts w:hint="eastAsia" w:ascii="仿宋_GB2312" w:hAnsi="仿宋" w:eastAsia="仿宋_GB2312" w:cs="Times New Roman"/>
          <w:sz w:val="32"/>
          <w:szCs w:val="32"/>
        </w:rPr>
        <w:t>《</w:t>
      </w:r>
      <w:r>
        <w:rPr>
          <w:rFonts w:hint="eastAsia" w:ascii="仿宋_GB2312" w:hAnsi="仿宋" w:eastAsia="仿宋_GB2312"/>
          <w:sz w:val="32"/>
          <w:szCs w:val="32"/>
        </w:rPr>
        <w:t>关于组织开展</w:t>
      </w:r>
      <w:bookmarkStart w:id="6" w:name="_Hlk47777522"/>
      <w:r>
        <w:rPr>
          <w:rFonts w:hint="eastAsia" w:ascii="仿宋_GB2312" w:hAnsi="仿宋" w:eastAsia="仿宋_GB2312"/>
          <w:sz w:val="32"/>
          <w:szCs w:val="32"/>
        </w:rPr>
        <w:t>2019年城区照明设施养护和电费经费专项资金</w:t>
      </w:r>
      <w:bookmarkEnd w:id="6"/>
      <w:r>
        <w:rPr>
          <w:rFonts w:hint="eastAsia" w:ascii="仿宋_GB2312" w:hAnsi="仿宋" w:eastAsia="仿宋_GB2312"/>
          <w:sz w:val="32"/>
          <w:szCs w:val="32"/>
        </w:rPr>
        <w:t>绩效评价工作的通知》（即财绩效函[2020]20号）</w:t>
      </w:r>
      <w:r>
        <w:rPr>
          <w:rFonts w:hint="eastAsia" w:ascii="仿宋_GB2312" w:hAnsi="仿宋" w:eastAsia="仿宋_GB2312" w:cs="Times New Roman"/>
          <w:sz w:val="32"/>
          <w:szCs w:val="32"/>
        </w:rPr>
        <w:t>，</w:t>
      </w:r>
      <w:r>
        <w:rPr>
          <w:rFonts w:hint="eastAsia" w:ascii="仿宋_GB2312" w:hAnsi="仿宋" w:eastAsia="仿宋_GB2312" w:cs="Times New Roman"/>
          <w:kern w:val="2"/>
          <w:sz w:val="32"/>
          <w:szCs w:val="32"/>
        </w:rPr>
        <w:t>评价机构</w:t>
      </w:r>
      <w:r>
        <w:rPr>
          <w:rFonts w:hint="eastAsia" w:ascii="仿宋_GB2312" w:hAnsi="仿宋" w:eastAsia="仿宋_GB2312" w:cs="Times New Roman"/>
          <w:sz w:val="32"/>
          <w:szCs w:val="32"/>
        </w:rPr>
        <w:t>成立了</w:t>
      </w:r>
      <w:r>
        <w:rPr>
          <w:rFonts w:hint="eastAsia" w:ascii="仿宋_GB2312" w:hAnsi="仿宋" w:eastAsia="仿宋_GB2312"/>
          <w:sz w:val="32"/>
          <w:szCs w:val="32"/>
        </w:rPr>
        <w:t>2019年城区照明设施养护和电费经费专项资金</w:t>
      </w:r>
      <w:r>
        <w:rPr>
          <w:rFonts w:hint="eastAsia" w:ascii="仿宋_GB2312" w:hAnsi="仿宋" w:eastAsia="仿宋_GB2312" w:cs="Times New Roman"/>
          <w:sz w:val="32"/>
          <w:szCs w:val="32"/>
        </w:rPr>
        <w:t>绩效评价工作小组。评价小组依据财政部发布的绩效评价基本指标评价体系及评分标准，</w:t>
      </w:r>
      <w:r>
        <w:rPr>
          <w:rFonts w:hint="eastAsia" w:ascii="仿宋_GB2312" w:hAnsi="仿宋" w:eastAsia="仿宋_GB2312" w:cs="Times New Roman"/>
          <w:color w:val="000000" w:themeColor="text1"/>
          <w:sz w:val="32"/>
          <w:szCs w:val="32"/>
          <w14:textFill>
            <w14:solidFill>
              <w14:schemeClr w14:val="tx1"/>
            </w14:solidFill>
          </w14:textFill>
        </w:rPr>
        <w:t>制定了《绩效评价工作方案》。根据评价方案，</w:t>
      </w:r>
      <w:r>
        <w:rPr>
          <w:rFonts w:hint="eastAsia" w:ascii="仿宋_GB2312" w:hAnsi="仿宋" w:eastAsia="仿宋_GB2312" w:cs="Times New Roman"/>
          <w:sz w:val="32"/>
          <w:szCs w:val="32"/>
        </w:rPr>
        <w:t>通过对基础数据填报、现场查看、实地调研、问卷调查等获取的数据进行整理和分析，并进行了独立、客观的评价。</w:t>
      </w:r>
    </w:p>
    <w:p>
      <w:pPr>
        <w:pStyle w:val="30"/>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本次评价的目的在于全面、真实、客观地反映</w:t>
      </w:r>
      <w:r>
        <w:rPr>
          <w:rFonts w:hint="eastAsia" w:ascii="仿宋_GB2312" w:hAnsi="仿宋" w:eastAsia="仿宋_GB2312" w:cs="Times New Roman"/>
          <w:color w:val="000000" w:themeColor="text1"/>
          <w:sz w:val="32"/>
          <w:szCs w:val="32"/>
          <w14:textFill>
            <w14:solidFill>
              <w14:schemeClr w14:val="tx1"/>
            </w14:solidFill>
          </w14:textFill>
        </w:rPr>
        <w:t>2019年城区照明设施养护和电费经费专项资金</w:t>
      </w:r>
      <w:r>
        <w:rPr>
          <w:rFonts w:hint="eastAsia" w:ascii="仿宋_GB2312" w:hAnsi="仿宋" w:eastAsia="仿宋_GB2312" w:cs="Times New Roman"/>
          <w:sz w:val="32"/>
          <w:szCs w:val="32"/>
        </w:rPr>
        <w:t>使用和绩效状况，总结资金使用情况和管理经验以及不足之处，积极探索可行、有效的解决方案和项目管理改进建议。为了使本项目量化得分保持整体性与完整性，采取将区市政公用事业服务中心</w:t>
      </w:r>
      <w:r>
        <w:rPr>
          <w:rFonts w:hint="eastAsia" w:ascii="仿宋_GB2312" w:hAnsi="仿宋" w:eastAsia="仿宋_GB2312"/>
          <w:sz w:val="32"/>
          <w:szCs w:val="32"/>
        </w:rPr>
        <w:t xml:space="preserve">2019 </w:t>
      </w:r>
      <w:r>
        <w:rPr>
          <w:rFonts w:hint="eastAsia" w:ascii="仿宋_GB2312" w:hAnsi="仿宋" w:eastAsia="仿宋_GB2312" w:cs="Times New Roman"/>
          <w:sz w:val="32"/>
          <w:szCs w:val="32"/>
        </w:rPr>
        <w:t>年</w:t>
      </w:r>
      <w:r>
        <w:rPr>
          <w:rFonts w:hint="eastAsia" w:ascii="仿宋_GB2312" w:hAnsi="仿宋" w:eastAsia="仿宋_GB2312"/>
          <w:sz w:val="32"/>
          <w:szCs w:val="32"/>
        </w:rPr>
        <w:t>专项资金使用及项目运营记录资料逐一进行数据收集和分析的方法，根据指标体系结合项目实际运行情况对被评价单位项目进行量化打分。</w:t>
      </w:r>
    </w:p>
    <w:p>
      <w:pPr>
        <w:pStyle w:val="30"/>
        <w:spacing w:line="570" w:lineRule="exact"/>
        <w:ind w:firstLine="640"/>
        <w:rPr>
          <w:rFonts w:ascii="仿宋_GB2312" w:hAnsi="仿宋" w:eastAsia="仿宋_GB2312" w:cs="Times New Roman"/>
          <w:color w:val="FF0000"/>
          <w:sz w:val="32"/>
          <w:szCs w:val="32"/>
        </w:rPr>
      </w:pPr>
      <w:r>
        <w:rPr>
          <w:rFonts w:hint="eastAsia" w:ascii="仿宋_GB2312" w:hAnsi="仿宋" w:eastAsia="仿宋_GB2312" w:cs="Times New Roman"/>
          <w:sz w:val="32"/>
          <w:szCs w:val="32"/>
        </w:rPr>
        <w:t>经评价，</w:t>
      </w:r>
      <w:r>
        <w:rPr>
          <w:rFonts w:hint="eastAsia" w:ascii="仿宋_GB2312" w:hAnsi="仿宋" w:eastAsia="仿宋_GB2312" w:cs="Times New Roman"/>
          <w:color w:val="000000" w:themeColor="text1"/>
          <w:sz w:val="32"/>
          <w:szCs w:val="32"/>
          <w14:textFill>
            <w14:solidFill>
              <w14:schemeClr w14:val="tx1"/>
            </w14:solidFill>
          </w14:textFill>
        </w:rPr>
        <w:t>2019年城区照明设施养护和电费经费专项资金</w:t>
      </w:r>
      <w:r>
        <w:rPr>
          <w:rFonts w:hint="eastAsia" w:ascii="仿宋_GB2312" w:hAnsi="仿宋" w:eastAsia="仿宋_GB2312" w:cs="Times New Roman"/>
          <w:sz w:val="32"/>
          <w:szCs w:val="32"/>
        </w:rPr>
        <w:t>绩效评价整体评分为：</w:t>
      </w:r>
      <w:r>
        <w:rPr>
          <w:rFonts w:hint="eastAsia" w:ascii="仿宋_GB2312" w:hAnsi="仿宋" w:eastAsia="仿宋_GB2312"/>
          <w:sz w:val="32"/>
          <w:szCs w:val="32"/>
        </w:rPr>
        <w:t>79.5</w:t>
      </w:r>
      <w:r>
        <w:rPr>
          <w:rFonts w:hint="eastAsia" w:ascii="仿宋_GB2312" w:hAnsi="仿宋" w:eastAsia="仿宋_GB2312" w:cs="Times New Roman"/>
          <w:sz w:val="32"/>
          <w:szCs w:val="32"/>
        </w:rPr>
        <w:t>分，</w:t>
      </w:r>
      <w:r>
        <w:rPr>
          <w:rFonts w:hint="eastAsia" w:ascii="仿宋_GB2312" w:hAnsi="仿宋" w:eastAsia="仿宋_GB2312" w:cs="Times New Roman"/>
          <w:kern w:val="2"/>
          <w:sz w:val="32"/>
          <w:szCs w:val="32"/>
        </w:rPr>
        <w:t>评价结论为“中”。该项目资金使用基本达到设定的绩效目标，但评价中也发现一些问题，需在今后的工作中予以调整和完善</w:t>
      </w:r>
      <w:r>
        <w:rPr>
          <w:rFonts w:hint="eastAsia" w:ascii="仿宋_GB2312" w:hAnsi="仿宋" w:eastAsia="仿宋_GB2312" w:cs="Times New Roman"/>
          <w:sz w:val="32"/>
          <w:szCs w:val="32"/>
        </w:rPr>
        <w:t>。</w:t>
      </w:r>
    </w:p>
    <w:p>
      <w:pPr>
        <w:pStyle w:val="2"/>
        <w:spacing w:line="570" w:lineRule="exact"/>
        <w:ind w:firstLine="640" w:firstLineChars="200"/>
        <w:rPr>
          <w:rFonts w:ascii="黑体" w:hAnsi="黑体"/>
          <w:sz w:val="32"/>
          <w:szCs w:val="32"/>
        </w:rPr>
      </w:pPr>
      <w:r>
        <w:rPr>
          <w:rFonts w:hint="eastAsia" w:ascii="黑体" w:hAnsi="黑体"/>
          <w:sz w:val="32"/>
          <w:szCs w:val="32"/>
        </w:rPr>
        <w:t>一、本项目主要</w:t>
      </w:r>
      <w:r>
        <w:rPr>
          <w:rFonts w:ascii="黑体" w:hAnsi="黑体"/>
          <w:sz w:val="32"/>
          <w:szCs w:val="32"/>
        </w:rPr>
        <w:t>绩效</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（一）专项资金设置对保障城区道路照明设施正常运行，提升城市形象具有重要的社会效益</w:t>
      </w:r>
    </w:p>
    <w:p>
      <w:pPr>
        <w:pStyle w:val="30"/>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道路照明设施作为城市的公共照明设施，既是展示形象的窗口，也是塑造城市整体形象的重要元素。通过设置专项资金予以保证城区道路照明设施安全运行，不仅对居民出行、夜间车辆交通安全、维护社会治安起到保障作用，还同时亮化区容、区貌，提升城市人居环境质量和人民生活质量。</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（二）项目实施注重节能环保，对城市可持续发展具有重要的生态效益</w:t>
      </w:r>
    </w:p>
    <w:p>
      <w:pPr>
        <w:pStyle w:val="30"/>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随着自然资源储量的逐渐减少, 节能环保已经成为全球共识。在市政道路照明中采用太阳能LED路灯其功率比较低、耗电量少、寿命长、稳定性较强、节约用电、运行维护成本低，对城市节能照明具有十分重要的意义。项目单位积极响应国家节能环保、绿色发展的要求，对烟青一级路（城阳界-鹤山路）、墨城路等28条路段采用太阳能LED照明灯具，项目实施对城市可持续发展具有重要的生态效益。</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（三）项目实施对城市综合实力的提升效果明显</w:t>
      </w:r>
    </w:p>
    <w:p>
      <w:pPr>
        <w:spacing w:after="0" w:line="570" w:lineRule="exact"/>
        <w:ind w:firstLine="643"/>
        <w:jc w:val="both"/>
        <w:rPr>
          <w:rFonts w:ascii="仿宋_GB2312" w:hAnsi="仿宋" w:eastAsia="仿宋_GB2312" w:cs="Times New Roman"/>
          <w:sz w:val="32"/>
          <w:szCs w:val="32"/>
        </w:rPr>
      </w:pPr>
      <w:r>
        <w:rPr>
          <w:rFonts w:hint="eastAsia" w:ascii="仿宋_GB2312" w:hAnsi="仿宋" w:eastAsia="仿宋_GB2312" w:cs="Times New Roman"/>
          <w:sz w:val="32"/>
          <w:szCs w:val="32"/>
        </w:rPr>
        <w:t>随着我国经济的高速发展，城市建设逐步加快，道路照明及景观设施照明的数量和要求也在不断增加，市民对城市照明的管理提出了更高的要求。区市政公用事业服务中心制定了《青岛市即墨区城市道路照明设施维护管理检查考核办法》进一步加强和规范城市道路照明设施维护管理，项目实施单位通过城市照明自动化监控系统，实现全区范围照明、亮化开/关自动控制，对提升区域综合实力效果明显。</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（四）项目的实施提升居民对城市满意度</w:t>
      </w:r>
    </w:p>
    <w:p>
      <w:pPr>
        <w:pStyle w:val="30"/>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项目的实施为居民的生活提供了便利，让居民夜间出行变得更加方便、增强居民获得感，提升人民对城市管理整体满意度。路灯设施完好、运行正常，对打造城市夜间环境，带动区域“夜间经济”发展起到积极促进作用。</w:t>
      </w:r>
    </w:p>
    <w:p>
      <w:pPr>
        <w:pStyle w:val="2"/>
        <w:spacing w:line="570" w:lineRule="exact"/>
        <w:ind w:firstLine="640" w:firstLineChars="200"/>
        <w:rPr>
          <w:rFonts w:ascii="黑体" w:hAnsi="黑体"/>
          <w:sz w:val="32"/>
          <w:szCs w:val="32"/>
        </w:rPr>
      </w:pPr>
      <w:r>
        <w:rPr>
          <w:rFonts w:hint="eastAsia" w:ascii="黑体" w:hAnsi="黑体"/>
          <w:sz w:val="32"/>
          <w:szCs w:val="32"/>
        </w:rPr>
        <w:t>二、存在的</w:t>
      </w:r>
      <w:r>
        <w:rPr>
          <w:rFonts w:ascii="黑体" w:hAnsi="黑体"/>
          <w:sz w:val="32"/>
          <w:szCs w:val="32"/>
        </w:rPr>
        <w:t>问题</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（一）专项资金绩效目标设置规范性有待进一步提高</w:t>
      </w:r>
    </w:p>
    <w:p>
      <w:pPr>
        <w:pStyle w:val="30"/>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2019年项目单位在编制专项资金绩效目标过程中未能正确区分项目中包含的其他公益用电设施电费支出，将部分三级绩效指标笼统设定为“城区路灯照明电费每年1640万元”。本专项资金实际支出中包含“城区81条道路照明设施、部分路口交通信号灯、公共自行车存放点、公共站点及港湾候车厅公用设施电费支出”，上述情况反映出单位在编制专项资金绩效目标时未能遵照指向性明确、清晰、细化的原则进行设置，工作规范性需进一步提高。</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（二）资金使用存在批复范围外支出项目</w:t>
      </w:r>
    </w:p>
    <w:p>
      <w:pPr>
        <w:pStyle w:val="30"/>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评价中发现，项目单位自2019年度专项资金中为城区其他公益用电设施“交通信号灯、公共自行车租赁点、公交站点及港湾候车厅”等公共设施缴纳电费约71.68万元。为加强城区公用设施使用城区路灯箱变用电监管，预算单位于2020年7月21日向区政府提报《青岛市即墨区住房和城乡建设局关于市政路灯箱变用电有关情况的报告》（即城乡呈[2020]9号），对102处公交候车厅、38处交通信号灯、12处公共自行车存放点公用设施取用电情况向政府做出了报告。</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（三）专项资金预算编制和实际支出存在偏差</w:t>
      </w:r>
    </w:p>
    <w:p>
      <w:pPr>
        <w:pStyle w:val="30"/>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2019年专项资金预算安排电费支出1262.32万元，养护费用支出377.68万元。2019年实际支出电费1049.8万元、养护费用支出377.68万元（2019年照明设施养护采购中标金额为395.02万元）。本项目电费由实施单位按月将供电部门(各供电所、站分别出具发票)提供的电费发票汇总制作汇总表后缴纳、记账。</w:t>
      </w:r>
    </w:p>
    <w:p>
      <w:pPr>
        <w:pStyle w:val="30"/>
        <w:spacing w:line="570" w:lineRule="exact"/>
        <w:ind w:firstLine="640"/>
        <w:rPr>
          <w:rFonts w:ascii="仿宋_GB2312" w:hAnsi="仿宋" w:eastAsia="仿宋_GB2312"/>
          <w:b/>
          <w:sz w:val="32"/>
          <w:szCs w:val="32"/>
        </w:rPr>
      </w:pPr>
      <w:r>
        <w:rPr>
          <w:rFonts w:hint="eastAsia" w:ascii="仿宋_GB2312" w:hAnsi="仿宋" w:eastAsia="仿宋_GB2312" w:cs="Times New Roman"/>
          <w:sz w:val="32"/>
          <w:szCs w:val="32"/>
        </w:rPr>
        <w:t>本次评价依据项目单位提供的委托“青岛市市政工程设计研究院”编制的《即墨城区市政道路（含桥梁及照明设施）管理台账》和项目承担单位提报的相关资料，专项资金保障范围为城区81条道路照明设施，登记灯杆8590支，光源13607盏，总功率4367千瓦时。经评价小组实地清点、比对、调整统计口径后与被评价单位共同确认、汇总后得出结论：管理台账登记光源数量和实有光源数量存在差异，2019年度预算多测算申报专项资金60.42万元。</w:t>
      </w:r>
    </w:p>
    <w:p>
      <w:pPr>
        <w:pStyle w:val="2"/>
        <w:spacing w:line="570" w:lineRule="exact"/>
        <w:ind w:firstLine="640" w:firstLineChars="200"/>
        <w:rPr>
          <w:rFonts w:ascii="黑体" w:hAnsi="黑体"/>
          <w:sz w:val="32"/>
          <w:szCs w:val="32"/>
        </w:rPr>
      </w:pPr>
      <w:r>
        <w:rPr>
          <w:rFonts w:hint="eastAsia" w:ascii="黑体" w:hAnsi="黑体"/>
          <w:sz w:val="32"/>
          <w:szCs w:val="32"/>
        </w:rPr>
        <w:t>三、管理</w:t>
      </w:r>
      <w:r>
        <w:rPr>
          <w:rFonts w:ascii="黑体" w:hAnsi="黑体"/>
          <w:sz w:val="32"/>
          <w:szCs w:val="32"/>
        </w:rPr>
        <w:t>建议</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（一）加强专项资金预算绩效管理，调整项目以后年度预算</w:t>
      </w:r>
    </w:p>
    <w:p>
      <w:pPr>
        <w:pStyle w:val="30"/>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综合本次现场勘察及2019、2020年预算安排专项资金使用情况综合分析，本次评价范围（截至2019年12月末城区路灯实有数）电费测算实际支出应为1056.96万元，加上2019年养护费用中标金额395.02万元，测算本项目预算应为1451.98万元。建议本次评价项目电费支出暂按1452万元（含信号灯、自行车存取点及候车港湾设施用电）作为以前年度基数。本报告建议：以后年度安排本项目资金以上述1452万元为基数,在以后安排专项资金预算时加上新增照明设施数量及功率后综合予以考虑。</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（二）规范专项资金绩效管理</w:t>
      </w:r>
    </w:p>
    <w:p>
      <w:pPr>
        <w:pStyle w:val="30"/>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在编制专项资金绩效目标时，应按照指向性明确、清晰、细化的原则进行设置。对本项目代缴其他公益设施电费71.98万元，在编报以后年度专项资金预算中，要细化其属性对应的绩效目标，报预算部门和财政部门批准后，再编制专项资金预算。</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（三）对城市照明设施实施智能化、规范化管理</w:t>
      </w:r>
    </w:p>
    <w:p>
      <w:pPr>
        <w:pStyle w:val="30"/>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路灯灯杆编号是市政基础设施管理的有效举措，这一举措，既是管理的需要，也是城市发展的需求，项目单位应尽快对城区各主次干道路照明设施完善、安装编码牌；项目单位应在今后的工作中结合“智慧城市建设”等工作趋势，逐步实现城区照明设施智能化、规范化、精细化管理。</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（四）对项目管理中存在的问题组织整改</w:t>
      </w:r>
    </w:p>
    <w:p>
      <w:pPr>
        <w:pStyle w:val="30"/>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被评价单位要对本次评价中发现城区照明设施管理账实不符、专项资金预算编制与实际支出存在偏差的原因进行自查、整改。建议项目单位按照准确的数量、功率等依据重新编制专项资金预算及绩效目标；建议按月或季建立照明设施的动态调整机制，对迁移、改造和新建的照明设施情况、数据等资料及时报送主管部门和财政部门。</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color w:val="FF0000"/>
        </w:rPr>
      </w:pPr>
      <w:r>
        <w:rPr>
          <w:rFonts w:hint="eastAsia" w:ascii="楷体_GB2312" w:hAnsi="仿宋" w:eastAsia="楷体_GB2312" w:cs="Times New Roman"/>
          <w:b w:val="0"/>
          <w:bCs w:val="0"/>
          <w:kern w:val="2"/>
        </w:rPr>
        <w:t>（五）树立绩效主体责任意识，提高绩效管理水平</w:t>
      </w:r>
    </w:p>
    <w:p>
      <w:pPr>
        <w:pStyle w:val="30"/>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预算部门应严格按照《关于深化预算绩效管理改革全面推进预算绩效管理的实施意见》（即办发[2020]8号）规定“预算部门要依法履行部门预算编制、预算执行和绩效管理主体责任……”，加强专项资金监管，切实提高实施单位、企业管理水平，保障财政资金绩效。</w:t>
      </w:r>
    </w:p>
    <w:p>
      <w:pPr>
        <w:pStyle w:val="30"/>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对评价中发现的问题，区住房和城乡建设局作为项目主管单位，应组织下属单位在生产运营中建立规范的运行机制，切实强化资金管理，保障专项资金使用绩效。</w:t>
      </w:r>
    </w:p>
    <w:p>
      <w:pPr>
        <w:pStyle w:val="30"/>
        <w:spacing w:line="570" w:lineRule="exact"/>
        <w:ind w:firstLine="640"/>
        <w:rPr>
          <w:rFonts w:ascii="仿宋_GB2312" w:hAnsi="仿宋" w:eastAsia="仿宋_GB2312" w:cs="Times New Roman"/>
          <w:kern w:val="2"/>
          <w:sz w:val="32"/>
          <w:szCs w:val="32"/>
        </w:rPr>
      </w:pPr>
      <w:r>
        <w:rPr>
          <w:rFonts w:hint="eastAsia" w:ascii="仿宋_GB2312" w:hAnsi="仿宋" w:eastAsia="仿宋_GB2312" w:cs="Times New Roman"/>
          <w:sz w:val="32"/>
          <w:szCs w:val="32"/>
        </w:rPr>
        <w:t>区市政公用事业服务中心</w:t>
      </w:r>
      <w:r>
        <w:rPr>
          <w:rFonts w:hint="eastAsia" w:ascii="仿宋_GB2312" w:hAnsi="仿宋" w:eastAsia="仿宋_GB2312" w:cs="Times New Roman"/>
          <w:kern w:val="2"/>
          <w:sz w:val="32"/>
          <w:szCs w:val="32"/>
        </w:rPr>
        <w:t>作为责任单位，应加强</w:t>
      </w:r>
      <w:r>
        <w:rPr>
          <w:rFonts w:hint="eastAsia" w:ascii="仿宋_GB2312" w:hAnsi="仿宋" w:eastAsia="仿宋_GB2312"/>
          <w:sz w:val="32"/>
          <w:szCs w:val="32"/>
        </w:rPr>
        <w:t>城区照明设施养护和电费经费专项资金日常管理和审查力度，对专项资金的使用、管理等程序进行确认，并按照《青岛市即墨区预算绩效管理办法》（即财绩效[2020]260号）具体要求，强化绩效意识，提高监管水平，</w:t>
      </w:r>
      <w:r>
        <w:rPr>
          <w:rFonts w:hint="eastAsia" w:ascii="仿宋_GB2312" w:hAnsi="仿宋" w:eastAsia="仿宋_GB2312" w:cs="Times New Roman"/>
          <w:kern w:val="2"/>
          <w:sz w:val="32"/>
          <w:szCs w:val="32"/>
        </w:rPr>
        <w:t>充分发挥财政专项资金效益。</w:t>
      </w:r>
    </w:p>
    <w:p>
      <w:pPr>
        <w:pStyle w:val="30"/>
        <w:spacing w:line="570" w:lineRule="exact"/>
        <w:ind w:firstLine="640"/>
      </w:pPr>
      <w:r>
        <w:rPr>
          <w:rFonts w:hint="eastAsia" w:ascii="仿宋_GB2312" w:hAnsi="仿宋" w:eastAsia="仿宋_GB2312" w:cs="Times New Roman"/>
          <w:kern w:val="2"/>
          <w:sz w:val="32"/>
          <w:szCs w:val="32"/>
        </w:rPr>
        <w:t>本报告可作为安排、调整专项资金预算的参考依据。</w:t>
      </w:r>
    </w:p>
    <w:sectPr>
      <w:headerReference r:id="rId9" w:type="default"/>
      <w:footnotePr>
        <w:numFmt w:val="decimalEnclosedCircleChinese"/>
      </w:footnotePr>
      <w:pgSz w:w="11906" w:h="16838"/>
      <w:pgMar w:top="2098" w:right="1474" w:bottom="1985" w:left="1588" w:header="851" w:footer="1588" w:gutter="0"/>
      <w:pgNumType w:start="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3408812"/>
      <w:docPartObj>
        <w:docPartGallery w:val="autotext"/>
      </w:docPartObj>
    </w:sdtPr>
    <w:sdtContent>
      <w:p>
        <w:pPr>
          <w:pStyle w:val="8"/>
          <w:ind w:firstLine="360"/>
          <w:jc w:val="center"/>
        </w:pPr>
        <w:r>
          <w:fldChar w:fldCharType="begin"/>
        </w:r>
        <w:r>
          <w:instrText xml:space="preserve">PAGE   \* MERGEFORMAT</w:instrText>
        </w:r>
        <w:r>
          <w:fldChar w:fldCharType="separate"/>
        </w:r>
        <w:r>
          <w:rPr>
            <w:lang w:val="zh-CN"/>
          </w:rPr>
          <w:t>9</w:t>
        </w:r>
        <w:r>
          <w:rPr>
            <w:lang w:val="zh-CN"/>
          </w:rPr>
          <w:fldChar w:fldCharType="end"/>
        </w:r>
      </w:p>
    </w:sdtContent>
  </w:sdt>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360"/>
      <w:rPr>
        <w:rStyle w:val="14"/>
      </w:rPr>
    </w:pPr>
    <w:r>
      <w:fldChar w:fldCharType="begin"/>
    </w:r>
    <w:r>
      <w:rPr>
        <w:rStyle w:val="14"/>
      </w:rPr>
      <w:instrText xml:space="preserve">PAGE  </w:instrText>
    </w:r>
    <w:r>
      <w:fldChar w:fldCharType="end"/>
    </w:r>
  </w:p>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360"/>
      <w:rPr>
        <w:rStyle w:val="14"/>
      </w:rPr>
    </w:pPr>
    <w:r>
      <w:fldChar w:fldCharType="begin"/>
    </w:r>
    <w:r>
      <w:rPr>
        <w:rStyle w:val="14"/>
      </w:rPr>
      <w:instrText xml:space="preserve">PAGE  </w:instrText>
    </w:r>
    <w:r>
      <w:fldChar w:fldCharType="separate"/>
    </w:r>
    <w:r>
      <w:rPr>
        <w:rStyle w:val="14"/>
      </w:rPr>
      <w:t>I</w:t>
    </w:r>
    <w:r>
      <w:fldChar w:fldCharType="end"/>
    </w:r>
  </w:p>
  <w:p>
    <w:pPr>
      <w:pStyle w:val="8"/>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420"/>
      <w:rPr>
        <w:rFonts w:ascii="楷体" w:hAnsi="楷体" w:eastAsia="楷体"/>
        <w:sz w:val="21"/>
        <w:szCs w:val="21"/>
      </w:rPr>
    </w:pPr>
    <w:r>
      <w:rPr>
        <w:rFonts w:hint="eastAsia" w:ascii="楷体" w:hAnsi="楷体" w:eastAsia="楷体"/>
        <w:sz w:val="21"/>
        <w:szCs w:val="21"/>
      </w:rPr>
      <w:t>2019年城区照明设施养护和电费经费专项资金绩效评价报告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420"/>
      <w:rPr>
        <w:rFonts w:ascii="楷体" w:hAnsi="楷体" w:eastAsia="楷体"/>
        <w:sz w:val="21"/>
        <w:szCs w:val="21"/>
      </w:rPr>
    </w:pPr>
    <w:r>
      <w:rPr>
        <w:rFonts w:hint="eastAsia" w:ascii="楷体" w:hAnsi="楷体" w:eastAsia="楷体"/>
        <w:sz w:val="21"/>
        <w:szCs w:val="21"/>
      </w:rPr>
      <w:t>2019年城区照明设施养护和电费经费专项资金绩效评价报告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bordersDoNotSurroundHeader w:val="1"/>
  <w:bordersDoNotSurroundFooter w:val="1"/>
  <w:documentProtection w:enforcement="0"/>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1AE1"/>
    <w:rsid w:val="000055CB"/>
    <w:rsid w:val="0001048A"/>
    <w:rsid w:val="000114C4"/>
    <w:rsid w:val="000118CB"/>
    <w:rsid w:val="000126EB"/>
    <w:rsid w:val="00016F96"/>
    <w:rsid w:val="00024A70"/>
    <w:rsid w:val="00026CE9"/>
    <w:rsid w:val="00030091"/>
    <w:rsid w:val="000332F9"/>
    <w:rsid w:val="00033B9C"/>
    <w:rsid w:val="00035E3A"/>
    <w:rsid w:val="00043839"/>
    <w:rsid w:val="00047525"/>
    <w:rsid w:val="00047639"/>
    <w:rsid w:val="0005463F"/>
    <w:rsid w:val="000549AF"/>
    <w:rsid w:val="0005590D"/>
    <w:rsid w:val="000571F5"/>
    <w:rsid w:val="00061019"/>
    <w:rsid w:val="00063004"/>
    <w:rsid w:val="000658C7"/>
    <w:rsid w:val="00067AFB"/>
    <w:rsid w:val="00071C62"/>
    <w:rsid w:val="00073F8E"/>
    <w:rsid w:val="00074F41"/>
    <w:rsid w:val="000815DC"/>
    <w:rsid w:val="00092539"/>
    <w:rsid w:val="00093431"/>
    <w:rsid w:val="000A0BE3"/>
    <w:rsid w:val="000A3701"/>
    <w:rsid w:val="000A4CCD"/>
    <w:rsid w:val="000A4E2A"/>
    <w:rsid w:val="000B786A"/>
    <w:rsid w:val="000C0AFB"/>
    <w:rsid w:val="000C25C0"/>
    <w:rsid w:val="000C3D40"/>
    <w:rsid w:val="000C43BC"/>
    <w:rsid w:val="000C6014"/>
    <w:rsid w:val="000C6F73"/>
    <w:rsid w:val="000C7E95"/>
    <w:rsid w:val="000D1053"/>
    <w:rsid w:val="000D2CC4"/>
    <w:rsid w:val="000D4299"/>
    <w:rsid w:val="000D723B"/>
    <w:rsid w:val="000E0C8A"/>
    <w:rsid w:val="000E6F16"/>
    <w:rsid w:val="000F0410"/>
    <w:rsid w:val="000F442A"/>
    <w:rsid w:val="000F537D"/>
    <w:rsid w:val="00103059"/>
    <w:rsid w:val="001052C1"/>
    <w:rsid w:val="0010654D"/>
    <w:rsid w:val="00106F26"/>
    <w:rsid w:val="001159A1"/>
    <w:rsid w:val="00124DCB"/>
    <w:rsid w:val="001265B0"/>
    <w:rsid w:val="00127637"/>
    <w:rsid w:val="00127CE2"/>
    <w:rsid w:val="0013142B"/>
    <w:rsid w:val="001349AB"/>
    <w:rsid w:val="001354B0"/>
    <w:rsid w:val="0014006F"/>
    <w:rsid w:val="00144013"/>
    <w:rsid w:val="0014419B"/>
    <w:rsid w:val="001442FD"/>
    <w:rsid w:val="00144393"/>
    <w:rsid w:val="00152113"/>
    <w:rsid w:val="0016131A"/>
    <w:rsid w:val="0016315B"/>
    <w:rsid w:val="00163978"/>
    <w:rsid w:val="00166EC6"/>
    <w:rsid w:val="00170E91"/>
    <w:rsid w:val="001748EA"/>
    <w:rsid w:val="00175212"/>
    <w:rsid w:val="00182FB5"/>
    <w:rsid w:val="00184307"/>
    <w:rsid w:val="00184D90"/>
    <w:rsid w:val="001863D8"/>
    <w:rsid w:val="001867C7"/>
    <w:rsid w:val="001A2E12"/>
    <w:rsid w:val="001A3CCB"/>
    <w:rsid w:val="001A5C75"/>
    <w:rsid w:val="001A6FC4"/>
    <w:rsid w:val="001B2086"/>
    <w:rsid w:val="001B3FF9"/>
    <w:rsid w:val="001C0A7C"/>
    <w:rsid w:val="001D23F2"/>
    <w:rsid w:val="001D354B"/>
    <w:rsid w:val="001D4450"/>
    <w:rsid w:val="001D5468"/>
    <w:rsid w:val="001D6465"/>
    <w:rsid w:val="001D6DA1"/>
    <w:rsid w:val="001E0013"/>
    <w:rsid w:val="001E0BB3"/>
    <w:rsid w:val="001E272A"/>
    <w:rsid w:val="001E79D6"/>
    <w:rsid w:val="001F0C4F"/>
    <w:rsid w:val="001F2B67"/>
    <w:rsid w:val="001F5CA4"/>
    <w:rsid w:val="001F63B3"/>
    <w:rsid w:val="001F6F72"/>
    <w:rsid w:val="001F706C"/>
    <w:rsid w:val="00200C20"/>
    <w:rsid w:val="002024EC"/>
    <w:rsid w:val="002027C7"/>
    <w:rsid w:val="0020582E"/>
    <w:rsid w:val="002068D1"/>
    <w:rsid w:val="00207AAA"/>
    <w:rsid w:val="00211227"/>
    <w:rsid w:val="00213B49"/>
    <w:rsid w:val="002178B6"/>
    <w:rsid w:val="0022150E"/>
    <w:rsid w:val="00223E76"/>
    <w:rsid w:val="0022424D"/>
    <w:rsid w:val="00241102"/>
    <w:rsid w:val="00241768"/>
    <w:rsid w:val="00241DF8"/>
    <w:rsid w:val="00245AE6"/>
    <w:rsid w:val="002501E1"/>
    <w:rsid w:val="00251813"/>
    <w:rsid w:val="00256779"/>
    <w:rsid w:val="00257021"/>
    <w:rsid w:val="00264F3E"/>
    <w:rsid w:val="00265203"/>
    <w:rsid w:val="00267AAE"/>
    <w:rsid w:val="002708A2"/>
    <w:rsid w:val="00272149"/>
    <w:rsid w:val="00274315"/>
    <w:rsid w:val="00274B47"/>
    <w:rsid w:val="00283320"/>
    <w:rsid w:val="00283A81"/>
    <w:rsid w:val="002860E8"/>
    <w:rsid w:val="00286F11"/>
    <w:rsid w:val="002923BC"/>
    <w:rsid w:val="002925A8"/>
    <w:rsid w:val="00292DD5"/>
    <w:rsid w:val="002A1948"/>
    <w:rsid w:val="002B46B8"/>
    <w:rsid w:val="002B7398"/>
    <w:rsid w:val="002C1FE4"/>
    <w:rsid w:val="002C5354"/>
    <w:rsid w:val="002D09F7"/>
    <w:rsid w:val="002D0A1D"/>
    <w:rsid w:val="002D210B"/>
    <w:rsid w:val="002D49CF"/>
    <w:rsid w:val="002D61EB"/>
    <w:rsid w:val="002D6B5F"/>
    <w:rsid w:val="002D7C74"/>
    <w:rsid w:val="002E05D0"/>
    <w:rsid w:val="002E53E6"/>
    <w:rsid w:val="002E64DB"/>
    <w:rsid w:val="002E70FF"/>
    <w:rsid w:val="002F3976"/>
    <w:rsid w:val="002F4E3D"/>
    <w:rsid w:val="002F56A1"/>
    <w:rsid w:val="00301C0B"/>
    <w:rsid w:val="003024BD"/>
    <w:rsid w:val="00303017"/>
    <w:rsid w:val="00310925"/>
    <w:rsid w:val="003120D3"/>
    <w:rsid w:val="003154E4"/>
    <w:rsid w:val="003155E7"/>
    <w:rsid w:val="0032043E"/>
    <w:rsid w:val="00322BDC"/>
    <w:rsid w:val="00323B43"/>
    <w:rsid w:val="003247C3"/>
    <w:rsid w:val="003266ED"/>
    <w:rsid w:val="00332A7D"/>
    <w:rsid w:val="00342A16"/>
    <w:rsid w:val="00350F02"/>
    <w:rsid w:val="00353F9A"/>
    <w:rsid w:val="003553EA"/>
    <w:rsid w:val="003567FC"/>
    <w:rsid w:val="00361339"/>
    <w:rsid w:val="003620CD"/>
    <w:rsid w:val="00364376"/>
    <w:rsid w:val="00364BAE"/>
    <w:rsid w:val="00365E29"/>
    <w:rsid w:val="00367B0E"/>
    <w:rsid w:val="00367F42"/>
    <w:rsid w:val="00372150"/>
    <w:rsid w:val="00382166"/>
    <w:rsid w:val="00384EB5"/>
    <w:rsid w:val="00386FB9"/>
    <w:rsid w:val="003927E2"/>
    <w:rsid w:val="003A23EE"/>
    <w:rsid w:val="003A5F30"/>
    <w:rsid w:val="003B5995"/>
    <w:rsid w:val="003B696B"/>
    <w:rsid w:val="003C1925"/>
    <w:rsid w:val="003C3D82"/>
    <w:rsid w:val="003C489A"/>
    <w:rsid w:val="003C4E0B"/>
    <w:rsid w:val="003D36B5"/>
    <w:rsid w:val="003D37D8"/>
    <w:rsid w:val="003E5C1E"/>
    <w:rsid w:val="003E5E72"/>
    <w:rsid w:val="003F2C07"/>
    <w:rsid w:val="003F3061"/>
    <w:rsid w:val="003F46D9"/>
    <w:rsid w:val="00400BAE"/>
    <w:rsid w:val="00401146"/>
    <w:rsid w:val="00411536"/>
    <w:rsid w:val="0041465B"/>
    <w:rsid w:val="00420331"/>
    <w:rsid w:val="00425FAE"/>
    <w:rsid w:val="00426133"/>
    <w:rsid w:val="00430432"/>
    <w:rsid w:val="00430714"/>
    <w:rsid w:val="00432ED0"/>
    <w:rsid w:val="00433DD7"/>
    <w:rsid w:val="00433E51"/>
    <w:rsid w:val="004358AB"/>
    <w:rsid w:val="004370FF"/>
    <w:rsid w:val="0044138B"/>
    <w:rsid w:val="004426A1"/>
    <w:rsid w:val="0044404A"/>
    <w:rsid w:val="00447DD7"/>
    <w:rsid w:val="00453689"/>
    <w:rsid w:val="00454E7A"/>
    <w:rsid w:val="00460158"/>
    <w:rsid w:val="00461697"/>
    <w:rsid w:val="00464903"/>
    <w:rsid w:val="004675D7"/>
    <w:rsid w:val="0047426A"/>
    <w:rsid w:val="0047531A"/>
    <w:rsid w:val="00477B94"/>
    <w:rsid w:val="00481602"/>
    <w:rsid w:val="00481FBE"/>
    <w:rsid w:val="0048353B"/>
    <w:rsid w:val="0048663C"/>
    <w:rsid w:val="00491C0A"/>
    <w:rsid w:val="00495F89"/>
    <w:rsid w:val="00497939"/>
    <w:rsid w:val="004A25F3"/>
    <w:rsid w:val="004A423A"/>
    <w:rsid w:val="004A4549"/>
    <w:rsid w:val="004A4FA5"/>
    <w:rsid w:val="004A706E"/>
    <w:rsid w:val="004B0DC3"/>
    <w:rsid w:val="004B35B5"/>
    <w:rsid w:val="004B516F"/>
    <w:rsid w:val="004B648C"/>
    <w:rsid w:val="004B7588"/>
    <w:rsid w:val="004B7D35"/>
    <w:rsid w:val="004C0082"/>
    <w:rsid w:val="004C0AD8"/>
    <w:rsid w:val="004C4CC9"/>
    <w:rsid w:val="004C7688"/>
    <w:rsid w:val="004D22B1"/>
    <w:rsid w:val="004D2695"/>
    <w:rsid w:val="004D300C"/>
    <w:rsid w:val="004E1B13"/>
    <w:rsid w:val="004E6A6D"/>
    <w:rsid w:val="004F0961"/>
    <w:rsid w:val="004F3A37"/>
    <w:rsid w:val="004F61C2"/>
    <w:rsid w:val="00502B52"/>
    <w:rsid w:val="00506CAD"/>
    <w:rsid w:val="005166F2"/>
    <w:rsid w:val="00520CE3"/>
    <w:rsid w:val="00522FCB"/>
    <w:rsid w:val="005311C0"/>
    <w:rsid w:val="00535CAA"/>
    <w:rsid w:val="00537934"/>
    <w:rsid w:val="00545C26"/>
    <w:rsid w:val="00546759"/>
    <w:rsid w:val="00546ACA"/>
    <w:rsid w:val="0054777D"/>
    <w:rsid w:val="0055090D"/>
    <w:rsid w:val="00554636"/>
    <w:rsid w:val="00563860"/>
    <w:rsid w:val="00564EFA"/>
    <w:rsid w:val="005712BA"/>
    <w:rsid w:val="0057270B"/>
    <w:rsid w:val="0057296A"/>
    <w:rsid w:val="00573F66"/>
    <w:rsid w:val="00575745"/>
    <w:rsid w:val="00583B95"/>
    <w:rsid w:val="00596AB2"/>
    <w:rsid w:val="005A2AE0"/>
    <w:rsid w:val="005A7436"/>
    <w:rsid w:val="005B0438"/>
    <w:rsid w:val="005B7697"/>
    <w:rsid w:val="005C1AD4"/>
    <w:rsid w:val="005D1085"/>
    <w:rsid w:val="005E3DBE"/>
    <w:rsid w:val="005E5466"/>
    <w:rsid w:val="005F24D6"/>
    <w:rsid w:val="005F6467"/>
    <w:rsid w:val="005F6B93"/>
    <w:rsid w:val="006025DE"/>
    <w:rsid w:val="00603B2E"/>
    <w:rsid w:val="00605D20"/>
    <w:rsid w:val="00606E41"/>
    <w:rsid w:val="00607DEA"/>
    <w:rsid w:val="00610F22"/>
    <w:rsid w:val="00611E52"/>
    <w:rsid w:val="00615166"/>
    <w:rsid w:val="0061672D"/>
    <w:rsid w:val="006174D6"/>
    <w:rsid w:val="006207C5"/>
    <w:rsid w:val="006224E4"/>
    <w:rsid w:val="006240FE"/>
    <w:rsid w:val="00625499"/>
    <w:rsid w:val="006325BE"/>
    <w:rsid w:val="0063297C"/>
    <w:rsid w:val="00634B11"/>
    <w:rsid w:val="006412C6"/>
    <w:rsid w:val="0064628C"/>
    <w:rsid w:val="00646852"/>
    <w:rsid w:val="00651803"/>
    <w:rsid w:val="006542A0"/>
    <w:rsid w:val="0065465A"/>
    <w:rsid w:val="00661D03"/>
    <w:rsid w:val="0066634B"/>
    <w:rsid w:val="0067600B"/>
    <w:rsid w:val="00681BCB"/>
    <w:rsid w:val="006841AC"/>
    <w:rsid w:val="0068472A"/>
    <w:rsid w:val="00686CB1"/>
    <w:rsid w:val="00687314"/>
    <w:rsid w:val="0069241F"/>
    <w:rsid w:val="00692FA4"/>
    <w:rsid w:val="0069466F"/>
    <w:rsid w:val="006963CC"/>
    <w:rsid w:val="006967B4"/>
    <w:rsid w:val="006970E4"/>
    <w:rsid w:val="0069712B"/>
    <w:rsid w:val="006B2F2D"/>
    <w:rsid w:val="006C0A2B"/>
    <w:rsid w:val="006C3C55"/>
    <w:rsid w:val="006C4C3E"/>
    <w:rsid w:val="006C6043"/>
    <w:rsid w:val="006E4F55"/>
    <w:rsid w:val="006F2D6B"/>
    <w:rsid w:val="006F2F21"/>
    <w:rsid w:val="006F4B8F"/>
    <w:rsid w:val="00703A04"/>
    <w:rsid w:val="00703B97"/>
    <w:rsid w:val="007067DB"/>
    <w:rsid w:val="00710E52"/>
    <w:rsid w:val="00713E6F"/>
    <w:rsid w:val="0071598B"/>
    <w:rsid w:val="00720612"/>
    <w:rsid w:val="007226B7"/>
    <w:rsid w:val="00725611"/>
    <w:rsid w:val="007317E6"/>
    <w:rsid w:val="00733334"/>
    <w:rsid w:val="007340CA"/>
    <w:rsid w:val="00736AF6"/>
    <w:rsid w:val="0074031E"/>
    <w:rsid w:val="00742537"/>
    <w:rsid w:val="00743309"/>
    <w:rsid w:val="00744F8A"/>
    <w:rsid w:val="00746298"/>
    <w:rsid w:val="00747D57"/>
    <w:rsid w:val="00752014"/>
    <w:rsid w:val="0075409F"/>
    <w:rsid w:val="00754B13"/>
    <w:rsid w:val="00761E30"/>
    <w:rsid w:val="007625A5"/>
    <w:rsid w:val="00764483"/>
    <w:rsid w:val="007644AF"/>
    <w:rsid w:val="00766D53"/>
    <w:rsid w:val="00770ABC"/>
    <w:rsid w:val="00770FC5"/>
    <w:rsid w:val="00773F59"/>
    <w:rsid w:val="00774BD8"/>
    <w:rsid w:val="00780F4C"/>
    <w:rsid w:val="00785405"/>
    <w:rsid w:val="00796BB0"/>
    <w:rsid w:val="007A0FE1"/>
    <w:rsid w:val="007A3D49"/>
    <w:rsid w:val="007A6120"/>
    <w:rsid w:val="007A7B0C"/>
    <w:rsid w:val="007B41F2"/>
    <w:rsid w:val="007B4E35"/>
    <w:rsid w:val="007B5508"/>
    <w:rsid w:val="007B5782"/>
    <w:rsid w:val="007B6C2F"/>
    <w:rsid w:val="007B74C3"/>
    <w:rsid w:val="007C0C9F"/>
    <w:rsid w:val="007C10BE"/>
    <w:rsid w:val="007D6D27"/>
    <w:rsid w:val="007E214A"/>
    <w:rsid w:val="007E4E70"/>
    <w:rsid w:val="007F05D0"/>
    <w:rsid w:val="007F4129"/>
    <w:rsid w:val="007F650D"/>
    <w:rsid w:val="00803E12"/>
    <w:rsid w:val="0080501E"/>
    <w:rsid w:val="00807A92"/>
    <w:rsid w:val="00810556"/>
    <w:rsid w:val="008157B8"/>
    <w:rsid w:val="008207B7"/>
    <w:rsid w:val="0082630B"/>
    <w:rsid w:val="0083283E"/>
    <w:rsid w:val="008329D6"/>
    <w:rsid w:val="00833941"/>
    <w:rsid w:val="008427F6"/>
    <w:rsid w:val="00842D2A"/>
    <w:rsid w:val="00844345"/>
    <w:rsid w:val="00845136"/>
    <w:rsid w:val="00845426"/>
    <w:rsid w:val="00847694"/>
    <w:rsid w:val="008477AB"/>
    <w:rsid w:val="00852747"/>
    <w:rsid w:val="00852B64"/>
    <w:rsid w:val="00852E0A"/>
    <w:rsid w:val="008554EB"/>
    <w:rsid w:val="008572AC"/>
    <w:rsid w:val="00864B36"/>
    <w:rsid w:val="00867F62"/>
    <w:rsid w:val="00873018"/>
    <w:rsid w:val="008740B3"/>
    <w:rsid w:val="00877826"/>
    <w:rsid w:val="008850F9"/>
    <w:rsid w:val="00886387"/>
    <w:rsid w:val="00891C61"/>
    <w:rsid w:val="00892A82"/>
    <w:rsid w:val="008A07DE"/>
    <w:rsid w:val="008A15E4"/>
    <w:rsid w:val="008B0FBC"/>
    <w:rsid w:val="008B29CF"/>
    <w:rsid w:val="008B58F7"/>
    <w:rsid w:val="008B7726"/>
    <w:rsid w:val="008B7FCF"/>
    <w:rsid w:val="008D1068"/>
    <w:rsid w:val="008D5BF2"/>
    <w:rsid w:val="008E3445"/>
    <w:rsid w:val="008E4422"/>
    <w:rsid w:val="008F424B"/>
    <w:rsid w:val="008F4D3E"/>
    <w:rsid w:val="009012E0"/>
    <w:rsid w:val="00902E55"/>
    <w:rsid w:val="00905AF4"/>
    <w:rsid w:val="009227F2"/>
    <w:rsid w:val="00924EC0"/>
    <w:rsid w:val="0093014F"/>
    <w:rsid w:val="00931156"/>
    <w:rsid w:val="009431F8"/>
    <w:rsid w:val="00947B6E"/>
    <w:rsid w:val="00961665"/>
    <w:rsid w:val="00962000"/>
    <w:rsid w:val="00970BCA"/>
    <w:rsid w:val="00974CA5"/>
    <w:rsid w:val="00983326"/>
    <w:rsid w:val="00983556"/>
    <w:rsid w:val="00990B8D"/>
    <w:rsid w:val="00993402"/>
    <w:rsid w:val="009A014B"/>
    <w:rsid w:val="009A581E"/>
    <w:rsid w:val="009A646E"/>
    <w:rsid w:val="009B10B1"/>
    <w:rsid w:val="009B1660"/>
    <w:rsid w:val="009B3C54"/>
    <w:rsid w:val="009B5923"/>
    <w:rsid w:val="009C17FD"/>
    <w:rsid w:val="009C33AD"/>
    <w:rsid w:val="009C35A4"/>
    <w:rsid w:val="009C53B3"/>
    <w:rsid w:val="009C77C0"/>
    <w:rsid w:val="009C7E9C"/>
    <w:rsid w:val="009D0B70"/>
    <w:rsid w:val="009D0F96"/>
    <w:rsid w:val="009D1A7E"/>
    <w:rsid w:val="009D346A"/>
    <w:rsid w:val="009D383D"/>
    <w:rsid w:val="009D47EE"/>
    <w:rsid w:val="009D51B8"/>
    <w:rsid w:val="009E5821"/>
    <w:rsid w:val="009F0FC5"/>
    <w:rsid w:val="009F50E8"/>
    <w:rsid w:val="00A008FB"/>
    <w:rsid w:val="00A02A4F"/>
    <w:rsid w:val="00A07BB0"/>
    <w:rsid w:val="00A11010"/>
    <w:rsid w:val="00A23D57"/>
    <w:rsid w:val="00A2549C"/>
    <w:rsid w:val="00A25B6D"/>
    <w:rsid w:val="00A26EBD"/>
    <w:rsid w:val="00A31CBF"/>
    <w:rsid w:val="00A3343B"/>
    <w:rsid w:val="00A33E6F"/>
    <w:rsid w:val="00A3401C"/>
    <w:rsid w:val="00A41160"/>
    <w:rsid w:val="00A41571"/>
    <w:rsid w:val="00A50F5F"/>
    <w:rsid w:val="00A56CB6"/>
    <w:rsid w:val="00A62590"/>
    <w:rsid w:val="00A6707F"/>
    <w:rsid w:val="00A6767D"/>
    <w:rsid w:val="00A7430B"/>
    <w:rsid w:val="00A8231E"/>
    <w:rsid w:val="00A83205"/>
    <w:rsid w:val="00A86F75"/>
    <w:rsid w:val="00A92812"/>
    <w:rsid w:val="00AA41B5"/>
    <w:rsid w:val="00AB462A"/>
    <w:rsid w:val="00AB6CCE"/>
    <w:rsid w:val="00AB6F9B"/>
    <w:rsid w:val="00AB71F6"/>
    <w:rsid w:val="00AB726D"/>
    <w:rsid w:val="00AC4E57"/>
    <w:rsid w:val="00AC78B2"/>
    <w:rsid w:val="00AD052D"/>
    <w:rsid w:val="00AD6F4C"/>
    <w:rsid w:val="00AE2007"/>
    <w:rsid w:val="00AE2486"/>
    <w:rsid w:val="00AE3465"/>
    <w:rsid w:val="00AE3733"/>
    <w:rsid w:val="00AE5B3D"/>
    <w:rsid w:val="00AF3ABF"/>
    <w:rsid w:val="00B001C7"/>
    <w:rsid w:val="00B0284F"/>
    <w:rsid w:val="00B032EC"/>
    <w:rsid w:val="00B06598"/>
    <w:rsid w:val="00B10101"/>
    <w:rsid w:val="00B106A9"/>
    <w:rsid w:val="00B23E37"/>
    <w:rsid w:val="00B25CE7"/>
    <w:rsid w:val="00B26CF1"/>
    <w:rsid w:val="00B318C8"/>
    <w:rsid w:val="00B33743"/>
    <w:rsid w:val="00B34CE2"/>
    <w:rsid w:val="00B44F36"/>
    <w:rsid w:val="00B73157"/>
    <w:rsid w:val="00B83E31"/>
    <w:rsid w:val="00B86B0B"/>
    <w:rsid w:val="00B90029"/>
    <w:rsid w:val="00B92C2A"/>
    <w:rsid w:val="00B953FE"/>
    <w:rsid w:val="00BA1A06"/>
    <w:rsid w:val="00BA1D2E"/>
    <w:rsid w:val="00BA690A"/>
    <w:rsid w:val="00BB162C"/>
    <w:rsid w:val="00BC0A67"/>
    <w:rsid w:val="00BC4709"/>
    <w:rsid w:val="00BC7BBF"/>
    <w:rsid w:val="00BD1773"/>
    <w:rsid w:val="00BD3DF5"/>
    <w:rsid w:val="00BE2068"/>
    <w:rsid w:val="00BE2A14"/>
    <w:rsid w:val="00BE2D9F"/>
    <w:rsid w:val="00BE4E9C"/>
    <w:rsid w:val="00BF03A0"/>
    <w:rsid w:val="00C00930"/>
    <w:rsid w:val="00C065F8"/>
    <w:rsid w:val="00C07CD4"/>
    <w:rsid w:val="00C10810"/>
    <w:rsid w:val="00C32767"/>
    <w:rsid w:val="00C3558B"/>
    <w:rsid w:val="00C53945"/>
    <w:rsid w:val="00C575BB"/>
    <w:rsid w:val="00C62F44"/>
    <w:rsid w:val="00C64245"/>
    <w:rsid w:val="00C675E1"/>
    <w:rsid w:val="00C70184"/>
    <w:rsid w:val="00C70B46"/>
    <w:rsid w:val="00C71EA7"/>
    <w:rsid w:val="00C72EB5"/>
    <w:rsid w:val="00C819AD"/>
    <w:rsid w:val="00C9203F"/>
    <w:rsid w:val="00C94022"/>
    <w:rsid w:val="00CA57E0"/>
    <w:rsid w:val="00CA6556"/>
    <w:rsid w:val="00CA7778"/>
    <w:rsid w:val="00CB5161"/>
    <w:rsid w:val="00CB6682"/>
    <w:rsid w:val="00CB7194"/>
    <w:rsid w:val="00CD388B"/>
    <w:rsid w:val="00CD41CF"/>
    <w:rsid w:val="00CE25F2"/>
    <w:rsid w:val="00CE7923"/>
    <w:rsid w:val="00CF18C5"/>
    <w:rsid w:val="00CF354E"/>
    <w:rsid w:val="00D06F08"/>
    <w:rsid w:val="00D07A18"/>
    <w:rsid w:val="00D2048F"/>
    <w:rsid w:val="00D210F5"/>
    <w:rsid w:val="00D216AF"/>
    <w:rsid w:val="00D21B3E"/>
    <w:rsid w:val="00D312DB"/>
    <w:rsid w:val="00D31D50"/>
    <w:rsid w:val="00D326B7"/>
    <w:rsid w:val="00D337CC"/>
    <w:rsid w:val="00D366FB"/>
    <w:rsid w:val="00D440A3"/>
    <w:rsid w:val="00D44B7B"/>
    <w:rsid w:val="00D44BE2"/>
    <w:rsid w:val="00D45887"/>
    <w:rsid w:val="00D45C04"/>
    <w:rsid w:val="00D45F80"/>
    <w:rsid w:val="00D4641C"/>
    <w:rsid w:val="00D46A32"/>
    <w:rsid w:val="00D471BB"/>
    <w:rsid w:val="00D539B6"/>
    <w:rsid w:val="00D5514C"/>
    <w:rsid w:val="00D5623D"/>
    <w:rsid w:val="00D57BC2"/>
    <w:rsid w:val="00D642ED"/>
    <w:rsid w:val="00D64D39"/>
    <w:rsid w:val="00D84AEE"/>
    <w:rsid w:val="00D85FC2"/>
    <w:rsid w:val="00D9572B"/>
    <w:rsid w:val="00D965AF"/>
    <w:rsid w:val="00DA5E85"/>
    <w:rsid w:val="00DA7345"/>
    <w:rsid w:val="00DA7FCF"/>
    <w:rsid w:val="00DB2083"/>
    <w:rsid w:val="00DB5682"/>
    <w:rsid w:val="00DB6A14"/>
    <w:rsid w:val="00DC2701"/>
    <w:rsid w:val="00DC5F20"/>
    <w:rsid w:val="00DE322E"/>
    <w:rsid w:val="00DE759E"/>
    <w:rsid w:val="00DE776D"/>
    <w:rsid w:val="00DE7EE7"/>
    <w:rsid w:val="00DF5E48"/>
    <w:rsid w:val="00E11808"/>
    <w:rsid w:val="00E11AC3"/>
    <w:rsid w:val="00E12655"/>
    <w:rsid w:val="00E14E7F"/>
    <w:rsid w:val="00E164F4"/>
    <w:rsid w:val="00E21BDD"/>
    <w:rsid w:val="00E22A61"/>
    <w:rsid w:val="00E3021E"/>
    <w:rsid w:val="00E3182B"/>
    <w:rsid w:val="00E34C39"/>
    <w:rsid w:val="00E35952"/>
    <w:rsid w:val="00E41CAC"/>
    <w:rsid w:val="00E42803"/>
    <w:rsid w:val="00E475AC"/>
    <w:rsid w:val="00E51C2D"/>
    <w:rsid w:val="00E54F1B"/>
    <w:rsid w:val="00E556BC"/>
    <w:rsid w:val="00E56956"/>
    <w:rsid w:val="00E57717"/>
    <w:rsid w:val="00E63F24"/>
    <w:rsid w:val="00E65CEE"/>
    <w:rsid w:val="00E66952"/>
    <w:rsid w:val="00E70066"/>
    <w:rsid w:val="00E722DD"/>
    <w:rsid w:val="00E728AD"/>
    <w:rsid w:val="00E74FFE"/>
    <w:rsid w:val="00E777BD"/>
    <w:rsid w:val="00E81486"/>
    <w:rsid w:val="00E84A0F"/>
    <w:rsid w:val="00E85515"/>
    <w:rsid w:val="00E85BA5"/>
    <w:rsid w:val="00E912AC"/>
    <w:rsid w:val="00E9568D"/>
    <w:rsid w:val="00EA0FCC"/>
    <w:rsid w:val="00EA5759"/>
    <w:rsid w:val="00EA5ABF"/>
    <w:rsid w:val="00EA7508"/>
    <w:rsid w:val="00EB01B7"/>
    <w:rsid w:val="00EB35A2"/>
    <w:rsid w:val="00EB3AAC"/>
    <w:rsid w:val="00EC439B"/>
    <w:rsid w:val="00EC6C46"/>
    <w:rsid w:val="00ED085D"/>
    <w:rsid w:val="00ED38CB"/>
    <w:rsid w:val="00ED3A98"/>
    <w:rsid w:val="00ED3DAD"/>
    <w:rsid w:val="00EF4660"/>
    <w:rsid w:val="00EF68CA"/>
    <w:rsid w:val="00F108FC"/>
    <w:rsid w:val="00F11E98"/>
    <w:rsid w:val="00F2196D"/>
    <w:rsid w:val="00F220F3"/>
    <w:rsid w:val="00F251FA"/>
    <w:rsid w:val="00F279DF"/>
    <w:rsid w:val="00F31BDF"/>
    <w:rsid w:val="00F3584F"/>
    <w:rsid w:val="00F366C7"/>
    <w:rsid w:val="00F370CE"/>
    <w:rsid w:val="00F41483"/>
    <w:rsid w:val="00F42EA1"/>
    <w:rsid w:val="00F4629C"/>
    <w:rsid w:val="00F4664F"/>
    <w:rsid w:val="00F5029F"/>
    <w:rsid w:val="00F54F44"/>
    <w:rsid w:val="00F633CF"/>
    <w:rsid w:val="00F64B68"/>
    <w:rsid w:val="00F67408"/>
    <w:rsid w:val="00F71370"/>
    <w:rsid w:val="00F73ACD"/>
    <w:rsid w:val="00F73CA2"/>
    <w:rsid w:val="00F777E8"/>
    <w:rsid w:val="00F834CE"/>
    <w:rsid w:val="00F83941"/>
    <w:rsid w:val="00F852FB"/>
    <w:rsid w:val="00F9055A"/>
    <w:rsid w:val="00F91894"/>
    <w:rsid w:val="00F93388"/>
    <w:rsid w:val="00F93457"/>
    <w:rsid w:val="00F93D40"/>
    <w:rsid w:val="00F9736A"/>
    <w:rsid w:val="00FA7039"/>
    <w:rsid w:val="00FB161B"/>
    <w:rsid w:val="00FB3A19"/>
    <w:rsid w:val="00FB3ECA"/>
    <w:rsid w:val="00FB4076"/>
    <w:rsid w:val="00FB7D37"/>
    <w:rsid w:val="00FC03CB"/>
    <w:rsid w:val="00FC2937"/>
    <w:rsid w:val="00FD41ED"/>
    <w:rsid w:val="00FD43AA"/>
    <w:rsid w:val="00FE0E0C"/>
    <w:rsid w:val="00FE4B8B"/>
    <w:rsid w:val="00FF16CA"/>
    <w:rsid w:val="00FF28E1"/>
    <w:rsid w:val="08E66880"/>
    <w:rsid w:val="38AD7BEF"/>
    <w:rsid w:val="3AF660B1"/>
    <w:rsid w:val="508C034B"/>
    <w:rsid w:val="5F4339FC"/>
    <w:rsid w:val="60B93235"/>
    <w:rsid w:val="6E7458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qFormat="1" w:uiPriority="0" w:semiHidden="0"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19"/>
    <w:qFormat/>
    <w:uiPriority w:val="9"/>
    <w:pPr>
      <w:keepNext/>
      <w:keepLines/>
      <w:widowControl w:val="0"/>
      <w:adjustRightInd/>
      <w:snapToGrid/>
      <w:spacing w:after="0"/>
      <w:jc w:val="both"/>
      <w:outlineLvl w:val="0"/>
    </w:pPr>
    <w:rPr>
      <w:rFonts w:ascii="Calibri" w:hAnsi="Calibri" w:eastAsia="黑体" w:cs="Times New Roman"/>
      <w:bCs/>
      <w:kern w:val="44"/>
      <w:sz w:val="28"/>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toc 3"/>
    <w:basedOn w:val="1"/>
    <w:next w:val="1"/>
    <w:unhideWhenUsed/>
    <w:qFormat/>
    <w:uiPriority w:val="39"/>
    <w:pPr>
      <w:ind w:left="840" w:leftChars="400"/>
    </w:pPr>
  </w:style>
  <w:style w:type="paragraph" w:styleId="6">
    <w:name w:val="endnote text"/>
    <w:basedOn w:val="1"/>
    <w:link w:val="36"/>
    <w:semiHidden/>
    <w:unhideWhenUsed/>
    <w:qFormat/>
    <w:uiPriority w:val="99"/>
  </w:style>
  <w:style w:type="paragraph" w:styleId="7">
    <w:name w:val="Balloon Text"/>
    <w:basedOn w:val="1"/>
    <w:link w:val="34"/>
    <w:semiHidden/>
    <w:unhideWhenUsed/>
    <w:qFormat/>
    <w:uiPriority w:val="99"/>
    <w:pPr>
      <w:spacing w:after="0"/>
    </w:pPr>
    <w:rPr>
      <w:sz w:val="18"/>
      <w:szCs w:val="18"/>
    </w:rPr>
  </w:style>
  <w:style w:type="paragraph" w:styleId="8">
    <w:name w:val="footer"/>
    <w:basedOn w:val="1"/>
    <w:link w:val="22"/>
    <w:unhideWhenUsed/>
    <w:qFormat/>
    <w:uiPriority w:val="99"/>
    <w:pPr>
      <w:widowControl w:val="0"/>
      <w:tabs>
        <w:tab w:val="center" w:pos="4153"/>
        <w:tab w:val="right" w:pos="8306"/>
      </w:tabs>
      <w:adjustRightInd/>
      <w:spacing w:after="0" w:line="240" w:lineRule="atLeast"/>
      <w:ind w:firstLine="200" w:firstLineChars="200"/>
    </w:pPr>
    <w:rPr>
      <w:rFonts w:asciiTheme="minorHAnsi" w:hAnsiTheme="minorHAnsi"/>
      <w:sz w:val="18"/>
      <w:szCs w:val="18"/>
    </w:rPr>
  </w:style>
  <w:style w:type="paragraph" w:styleId="9">
    <w:name w:val="header"/>
    <w:basedOn w:val="1"/>
    <w:link w:val="23"/>
    <w:unhideWhenUsed/>
    <w:uiPriority w:val="99"/>
    <w:pPr>
      <w:widowControl w:val="0"/>
      <w:pBdr>
        <w:bottom w:val="single" w:color="auto" w:sz="6" w:space="1"/>
      </w:pBdr>
      <w:tabs>
        <w:tab w:val="center" w:pos="4153"/>
        <w:tab w:val="right" w:pos="8306"/>
      </w:tabs>
      <w:adjustRightInd/>
      <w:spacing w:after="0" w:line="240" w:lineRule="atLeast"/>
      <w:ind w:firstLine="200" w:firstLineChars="200"/>
      <w:jc w:val="center"/>
    </w:pPr>
    <w:rPr>
      <w:rFonts w:asciiTheme="minorHAnsi" w:hAnsiTheme="minorHAnsi"/>
      <w:sz w:val="18"/>
      <w:szCs w:val="18"/>
    </w:rPr>
  </w:style>
  <w:style w:type="paragraph" w:styleId="10">
    <w:name w:val="toc 1"/>
    <w:basedOn w:val="1"/>
    <w:next w:val="1"/>
    <w:unhideWhenUsed/>
    <w:qFormat/>
    <w:uiPriority w:val="39"/>
  </w:style>
  <w:style w:type="paragraph" w:styleId="11">
    <w:name w:val="footnote text"/>
    <w:basedOn w:val="1"/>
    <w:link w:val="35"/>
    <w:semiHidden/>
    <w:unhideWhenUsed/>
    <w:qFormat/>
    <w:uiPriority w:val="99"/>
    <w:rPr>
      <w:sz w:val="18"/>
      <w:szCs w:val="18"/>
    </w:rPr>
  </w:style>
  <w:style w:type="paragraph" w:styleId="12">
    <w:name w:val="toc 2"/>
    <w:basedOn w:val="1"/>
    <w:next w:val="1"/>
    <w:unhideWhenUsed/>
    <w:qFormat/>
    <w:uiPriority w:val="39"/>
    <w:pPr>
      <w:ind w:left="420" w:leftChars="200"/>
    </w:pPr>
  </w:style>
  <w:style w:type="character" w:styleId="14">
    <w:name w:val="page number"/>
    <w:unhideWhenUsed/>
    <w:qFormat/>
    <w:uiPriority w:val="0"/>
    <w:rPr>
      <w:rFonts w:cs="Times New Roman"/>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styleId="16">
    <w:name w:val="footnote reference"/>
    <w:basedOn w:val="13"/>
    <w:semiHidden/>
    <w:unhideWhenUsed/>
    <w:qFormat/>
    <w:uiPriority w:val="99"/>
    <w:rPr>
      <w:vertAlign w:val="superscript"/>
    </w:rPr>
  </w:style>
  <w:style w:type="table" w:styleId="18">
    <w:name w:val="Table Grid"/>
    <w:basedOn w:val="1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9">
    <w:name w:val="标题 1 Char"/>
    <w:basedOn w:val="13"/>
    <w:link w:val="2"/>
    <w:uiPriority w:val="9"/>
    <w:rPr>
      <w:rFonts w:ascii="Calibri" w:hAnsi="Calibri" w:eastAsia="黑体" w:cs="Times New Roman"/>
      <w:bCs/>
      <w:kern w:val="44"/>
      <w:sz w:val="28"/>
      <w:szCs w:val="44"/>
    </w:rPr>
  </w:style>
  <w:style w:type="character" w:customStyle="1" w:styleId="20">
    <w:name w:val="标题 2 Char"/>
    <w:basedOn w:val="13"/>
    <w:link w:val="3"/>
    <w:qFormat/>
    <w:uiPriority w:val="9"/>
    <w:rPr>
      <w:rFonts w:asciiTheme="majorHAnsi" w:hAnsiTheme="majorHAnsi" w:eastAsiaTheme="majorEastAsia" w:cstheme="majorBidi"/>
      <w:b/>
      <w:bCs/>
      <w:sz w:val="32"/>
      <w:szCs w:val="32"/>
    </w:rPr>
  </w:style>
  <w:style w:type="character" w:customStyle="1" w:styleId="21">
    <w:name w:val="标题 3 Char"/>
    <w:basedOn w:val="13"/>
    <w:link w:val="4"/>
    <w:qFormat/>
    <w:uiPriority w:val="9"/>
    <w:rPr>
      <w:rFonts w:ascii="Tahoma" w:hAnsi="Tahoma"/>
      <w:b/>
      <w:bCs/>
      <w:sz w:val="32"/>
      <w:szCs w:val="32"/>
    </w:rPr>
  </w:style>
  <w:style w:type="character" w:customStyle="1" w:styleId="22">
    <w:name w:val="页脚 Char1"/>
    <w:link w:val="8"/>
    <w:qFormat/>
    <w:uiPriority w:val="99"/>
    <w:rPr>
      <w:sz w:val="18"/>
      <w:szCs w:val="18"/>
    </w:rPr>
  </w:style>
  <w:style w:type="character" w:customStyle="1" w:styleId="23">
    <w:name w:val="页眉 Char1"/>
    <w:link w:val="9"/>
    <w:qFormat/>
    <w:uiPriority w:val="99"/>
    <w:rPr>
      <w:sz w:val="18"/>
      <w:szCs w:val="18"/>
    </w:rPr>
  </w:style>
  <w:style w:type="character" w:customStyle="1" w:styleId="24">
    <w:name w:val="页脚 Char"/>
    <w:basedOn w:val="13"/>
    <w:uiPriority w:val="99"/>
    <w:rPr>
      <w:rFonts w:ascii="Tahoma" w:hAnsi="Tahoma"/>
      <w:sz w:val="18"/>
      <w:szCs w:val="18"/>
    </w:rPr>
  </w:style>
  <w:style w:type="character" w:customStyle="1" w:styleId="25">
    <w:name w:val="页眉 Char"/>
    <w:basedOn w:val="13"/>
    <w:uiPriority w:val="99"/>
    <w:rPr>
      <w:rFonts w:ascii="Tahoma" w:hAnsi="Tahoma"/>
      <w:sz w:val="18"/>
      <w:szCs w:val="18"/>
    </w:rPr>
  </w:style>
  <w:style w:type="paragraph" w:customStyle="1" w:styleId="26">
    <w:name w:val="_Style 16"/>
    <w:basedOn w:val="1"/>
    <w:next w:val="1"/>
    <w:unhideWhenUsed/>
    <w:qFormat/>
    <w:uiPriority w:val="39"/>
    <w:pPr>
      <w:widowControl w:val="0"/>
      <w:adjustRightInd/>
      <w:snapToGrid/>
      <w:spacing w:before="120" w:after="120" w:line="560" w:lineRule="exact"/>
      <w:ind w:firstLine="200" w:firstLineChars="200"/>
    </w:pPr>
    <w:rPr>
      <w:rFonts w:ascii="Calibri" w:hAnsi="Calibri" w:eastAsia="仿宋" w:cs="Times New Roman"/>
      <w:b/>
      <w:bCs/>
      <w:caps/>
      <w:kern w:val="2"/>
      <w:sz w:val="20"/>
      <w:szCs w:val="20"/>
    </w:rPr>
  </w:style>
  <w:style w:type="character" w:customStyle="1" w:styleId="27">
    <w:name w:val="列出段落 Char"/>
    <w:link w:val="28"/>
    <w:uiPriority w:val="34"/>
    <w:rPr>
      <w:kern w:val="2"/>
      <w:sz w:val="21"/>
    </w:rPr>
  </w:style>
  <w:style w:type="paragraph" w:customStyle="1" w:styleId="28">
    <w:name w:val="列表段落"/>
    <w:basedOn w:val="1"/>
    <w:link w:val="27"/>
    <w:qFormat/>
    <w:uiPriority w:val="34"/>
    <w:pPr>
      <w:widowControl w:val="0"/>
      <w:adjustRightInd/>
      <w:snapToGrid/>
      <w:spacing w:after="0"/>
      <w:ind w:firstLine="420"/>
      <w:jc w:val="both"/>
    </w:pPr>
    <w:rPr>
      <w:rFonts w:asciiTheme="minorHAnsi" w:hAnsiTheme="minorHAnsi"/>
      <w:kern w:val="2"/>
      <w:sz w:val="21"/>
    </w:rPr>
  </w:style>
  <w:style w:type="character" w:customStyle="1" w:styleId="29">
    <w:name w:val="报告正文 Char"/>
    <w:link w:val="30"/>
    <w:qFormat/>
    <w:uiPriority w:val="0"/>
    <w:rPr>
      <w:rFonts w:ascii="Times New Roman" w:hAnsi="Times New Roman" w:eastAsia="仿宋"/>
      <w:sz w:val="28"/>
      <w:szCs w:val="28"/>
    </w:rPr>
  </w:style>
  <w:style w:type="paragraph" w:customStyle="1" w:styleId="30">
    <w:name w:val="报告正文"/>
    <w:basedOn w:val="1"/>
    <w:link w:val="29"/>
    <w:qFormat/>
    <w:uiPriority w:val="0"/>
    <w:pPr>
      <w:widowControl w:val="0"/>
      <w:adjustRightInd/>
      <w:snapToGrid/>
      <w:spacing w:after="0" w:line="560" w:lineRule="exact"/>
      <w:ind w:firstLine="200" w:firstLineChars="200"/>
      <w:jc w:val="both"/>
    </w:pPr>
    <w:rPr>
      <w:rFonts w:ascii="Times New Roman" w:hAnsi="Times New Roman" w:eastAsia="仿宋"/>
      <w:sz w:val="28"/>
      <w:szCs w:val="28"/>
    </w:rPr>
  </w:style>
  <w:style w:type="character" w:customStyle="1" w:styleId="31">
    <w:name w:val="闻政正文 Char"/>
    <w:link w:val="32"/>
    <w:qFormat/>
    <w:locked/>
    <w:uiPriority w:val="0"/>
    <w:rPr>
      <w:rFonts w:ascii="Times New Roman" w:hAnsi="Times New Roman" w:eastAsia="仿宋_GB2312"/>
      <w:sz w:val="28"/>
    </w:rPr>
  </w:style>
  <w:style w:type="paragraph" w:customStyle="1" w:styleId="32">
    <w:name w:val="闻政正文"/>
    <w:basedOn w:val="1"/>
    <w:link w:val="31"/>
    <w:uiPriority w:val="0"/>
    <w:pPr>
      <w:adjustRightInd/>
      <w:snapToGrid/>
      <w:spacing w:after="0" w:line="500" w:lineRule="exact"/>
      <w:ind w:firstLine="800" w:firstLineChars="200"/>
      <w:jc w:val="both"/>
    </w:pPr>
    <w:rPr>
      <w:rFonts w:ascii="Times New Roman" w:hAnsi="Times New Roman" w:eastAsia="仿宋_GB2312"/>
      <w:sz w:val="28"/>
    </w:rPr>
  </w:style>
  <w:style w:type="paragraph" w:customStyle="1" w:styleId="33">
    <w:name w:val="TOC 标题1"/>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b/>
      <w:color w:val="376092" w:themeColor="accent1" w:themeShade="BF"/>
      <w:kern w:val="0"/>
      <w:szCs w:val="28"/>
    </w:rPr>
  </w:style>
  <w:style w:type="character" w:customStyle="1" w:styleId="34">
    <w:name w:val="批注框文本 Char"/>
    <w:basedOn w:val="13"/>
    <w:link w:val="7"/>
    <w:semiHidden/>
    <w:qFormat/>
    <w:uiPriority w:val="99"/>
    <w:rPr>
      <w:rFonts w:ascii="Tahoma" w:hAnsi="Tahoma"/>
      <w:sz w:val="18"/>
      <w:szCs w:val="18"/>
    </w:rPr>
  </w:style>
  <w:style w:type="character" w:customStyle="1" w:styleId="35">
    <w:name w:val="脚注文本 Char"/>
    <w:basedOn w:val="13"/>
    <w:link w:val="11"/>
    <w:semiHidden/>
    <w:qFormat/>
    <w:uiPriority w:val="99"/>
    <w:rPr>
      <w:rFonts w:ascii="Tahoma" w:hAnsi="Tahoma"/>
      <w:sz w:val="18"/>
      <w:szCs w:val="18"/>
    </w:rPr>
  </w:style>
  <w:style w:type="character" w:customStyle="1" w:styleId="36">
    <w:name w:val="尾注文本 Char"/>
    <w:basedOn w:val="13"/>
    <w:link w:val="6"/>
    <w:semiHidden/>
    <w:qFormat/>
    <w:uiPriority w:val="99"/>
    <w:rPr>
      <w:rFonts w:ascii="Tahoma" w:hAnsi="Tahoma"/>
    </w:rPr>
  </w:style>
  <w:style w:type="paragraph" w:styleId="3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7B5669-11DA-461E-9171-E6D8C57A249E}">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13</Pages>
  <Words>1283</Words>
  <Characters>7317</Characters>
  <Lines>60</Lines>
  <Paragraphs>17</Paragraphs>
  <TotalTime>36</TotalTime>
  <ScaleCrop>false</ScaleCrop>
  <LinksUpToDate>false</LinksUpToDate>
  <CharactersWithSpaces>8583</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2020-12-02T03:50:00Z</dcterms:created>
  <dc:creator>Administrator</dc:creator>
  <cp:lastModifiedBy>Administrator</cp:lastModifiedBy>
  <cp:lastPrinted>2020-12-01T06:29:00Z</cp:lastPrinted>
  <dcterms:modified xsi:type="dcterms:W3CDTF">2020-12-04T02:54:59Z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