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9"/>
        <w:spacing w:before="360" w:after="240"/>
        <w:ind w:firstLine="0" w:firstLineChars="0"/>
        <w:rPr>
          <w:rFonts w:ascii="黑体" w:hAnsi="黑体" w:eastAsia="黑体"/>
          <w:b w:val="0"/>
          <w:color w:val="000000"/>
          <w:sz w:val="44"/>
          <w:szCs w:val="44"/>
        </w:rPr>
      </w:pPr>
      <w:r>
        <w:rPr>
          <w:rFonts w:hint="eastAsia" w:ascii="黑体" w:hAnsi="黑体" w:eastAsia="黑体"/>
          <w:b w:val="0"/>
          <w:color w:val="000000"/>
          <w:sz w:val="44"/>
          <w:szCs w:val="44"/>
        </w:rPr>
        <w:softHyphen/>
      </w:r>
    </w:p>
    <w:p>
      <w:pPr>
        <w:spacing w:line="560" w:lineRule="exact"/>
        <w:rPr>
          <w:rFonts w:ascii="黑体" w:hAnsi="黑体" w:eastAsia="黑体" w:cs="Times New Roman"/>
          <w:bCs/>
          <w:caps/>
          <w:color w:val="000000"/>
          <w:kern w:val="2"/>
          <w:sz w:val="44"/>
          <w:szCs w:val="44"/>
        </w:rPr>
      </w:pPr>
    </w:p>
    <w:p>
      <w:pPr>
        <w:spacing w:line="560" w:lineRule="exact"/>
      </w:pPr>
    </w:p>
    <w:p>
      <w:pPr>
        <w:pStyle w:val="43"/>
        <w:spacing w:before="360" w:after="240" w:line="570" w:lineRule="exact"/>
        <w:ind w:firstLine="0" w:firstLineChars="0"/>
        <w:jc w:val="center"/>
        <w:rPr>
          <w:rFonts w:ascii="黑体" w:hAnsi="黑体" w:eastAsia="黑体"/>
          <w:b w:val="0"/>
          <w:color w:val="000000"/>
          <w:sz w:val="44"/>
          <w:szCs w:val="44"/>
        </w:rPr>
      </w:pPr>
      <w:r>
        <w:rPr>
          <w:rFonts w:hint="eastAsia" w:ascii="黑体" w:hAnsi="黑体" w:eastAsia="黑体"/>
          <w:b w:val="0"/>
          <w:color w:val="000000"/>
          <w:sz w:val="44"/>
          <w:szCs w:val="44"/>
        </w:rPr>
        <w:t>2019年西部垃圾场运行及渗滤液处理</w:t>
      </w:r>
    </w:p>
    <w:p>
      <w:pPr>
        <w:pStyle w:val="43"/>
        <w:spacing w:before="360" w:after="240" w:line="570" w:lineRule="exact"/>
        <w:ind w:firstLine="0" w:firstLineChars="0"/>
        <w:jc w:val="center"/>
        <w:rPr>
          <w:rFonts w:ascii="黑体" w:hAnsi="黑体" w:eastAsia="黑体"/>
          <w:b w:val="0"/>
          <w:color w:val="000000"/>
          <w:sz w:val="44"/>
          <w:szCs w:val="44"/>
        </w:rPr>
      </w:pPr>
      <w:r>
        <w:rPr>
          <w:rFonts w:hint="eastAsia" w:ascii="黑体" w:hAnsi="黑体" w:eastAsia="黑体"/>
          <w:b w:val="0"/>
          <w:color w:val="000000"/>
          <w:sz w:val="44"/>
          <w:szCs w:val="44"/>
        </w:rPr>
        <w:t>专项资金</w:t>
      </w:r>
      <w:r>
        <w:rPr>
          <w:rFonts w:ascii="黑体" w:hAnsi="黑体" w:eastAsia="黑体"/>
          <w:b w:val="0"/>
          <w:color w:val="000000"/>
          <w:sz w:val="44"/>
          <w:szCs w:val="44"/>
        </w:rPr>
        <w:t>绩效评价</w:t>
      </w:r>
      <w:r>
        <w:rPr>
          <w:rFonts w:hint="eastAsia" w:ascii="黑体" w:hAnsi="黑体" w:eastAsia="黑体"/>
          <w:b w:val="0"/>
          <w:color w:val="000000"/>
          <w:sz w:val="44"/>
          <w:szCs w:val="44"/>
        </w:rPr>
        <w:t>报告</w:t>
      </w:r>
    </w:p>
    <w:p>
      <w:pPr>
        <w:spacing w:line="560" w:lineRule="exact"/>
        <w:rPr>
          <w:rFonts w:ascii="黑体" w:hAnsi="黑体" w:eastAsia="黑体"/>
          <w:sz w:val="44"/>
          <w:szCs w:val="28"/>
        </w:rPr>
      </w:pPr>
    </w:p>
    <w:p>
      <w:pPr>
        <w:spacing w:line="560" w:lineRule="exact"/>
        <w:rPr>
          <w:rFonts w:ascii="黑体" w:hAnsi="黑体" w:eastAsia="黑体"/>
          <w:sz w:val="44"/>
          <w:szCs w:val="28"/>
        </w:rPr>
      </w:pPr>
    </w:p>
    <w:p>
      <w:pPr>
        <w:spacing w:line="560" w:lineRule="exact"/>
        <w:rPr>
          <w:rFonts w:ascii="黑体" w:hAnsi="黑体" w:eastAsia="黑体"/>
          <w:sz w:val="44"/>
          <w:szCs w:val="28"/>
        </w:rPr>
      </w:pPr>
    </w:p>
    <w:p>
      <w:pPr>
        <w:spacing w:line="560" w:lineRule="exact"/>
        <w:rPr>
          <w:rFonts w:ascii="黑体" w:hAnsi="黑体" w:eastAsia="黑体"/>
          <w:sz w:val="44"/>
          <w:szCs w:val="28"/>
        </w:rPr>
      </w:pPr>
    </w:p>
    <w:p>
      <w:pPr>
        <w:spacing w:line="570" w:lineRule="exact"/>
        <w:ind w:firstLine="800" w:firstLineChars="250"/>
        <w:rPr>
          <w:rFonts w:ascii="黑体" w:hAnsi="黑体" w:eastAsia="黑体"/>
          <w:sz w:val="32"/>
          <w:szCs w:val="32"/>
        </w:rPr>
      </w:pPr>
      <w:r>
        <w:rPr>
          <w:rFonts w:hint="eastAsia" w:ascii="黑体" w:hAnsi="黑体" w:eastAsia="黑体"/>
          <w:sz w:val="32"/>
          <w:szCs w:val="32"/>
        </w:rPr>
        <w:t>项目主管部门：青岛市即墨区住房和城乡建设局</w:t>
      </w:r>
    </w:p>
    <w:p>
      <w:pPr>
        <w:spacing w:line="570" w:lineRule="exact"/>
        <w:ind w:firstLine="800" w:firstLineChars="250"/>
        <w:rPr>
          <w:rFonts w:ascii="黑体" w:hAnsi="黑体" w:eastAsia="黑体"/>
          <w:sz w:val="32"/>
          <w:szCs w:val="32"/>
        </w:rPr>
      </w:pPr>
      <w:bookmarkStart w:id="0" w:name="_Hlk45779781"/>
      <w:r>
        <w:rPr>
          <w:rFonts w:hint="eastAsia" w:ascii="黑体" w:hAnsi="黑体" w:eastAsia="黑体"/>
          <w:sz w:val="32"/>
          <w:szCs w:val="32"/>
        </w:rPr>
        <w:t>项目承担单位</w:t>
      </w:r>
      <w:r>
        <w:rPr>
          <w:rFonts w:ascii="黑体" w:hAnsi="黑体" w:eastAsia="黑体"/>
          <w:sz w:val="32"/>
          <w:szCs w:val="32"/>
        </w:rPr>
        <w:t>：</w:t>
      </w:r>
      <w:bookmarkStart w:id="1" w:name="_Hlk46685963"/>
      <w:r>
        <w:rPr>
          <w:rFonts w:hint="eastAsia" w:ascii="黑体" w:hAnsi="黑体" w:eastAsia="黑体"/>
          <w:sz w:val="32"/>
          <w:szCs w:val="32"/>
        </w:rPr>
        <w:t>青岛市即墨区园林环卫服务中心</w:t>
      </w:r>
      <w:bookmarkEnd w:id="1"/>
    </w:p>
    <w:bookmarkEnd w:id="0"/>
    <w:p>
      <w:pPr>
        <w:spacing w:line="570" w:lineRule="exact"/>
        <w:ind w:firstLine="800" w:firstLineChars="250"/>
        <w:rPr>
          <w:rFonts w:ascii="黑体" w:hAnsi="黑体" w:eastAsia="黑体"/>
          <w:sz w:val="32"/>
          <w:szCs w:val="32"/>
        </w:rPr>
      </w:pPr>
      <w:bookmarkStart w:id="2" w:name="_Hlk45779787"/>
      <w:r>
        <w:rPr>
          <w:rFonts w:hint="eastAsia" w:ascii="黑体" w:hAnsi="黑体" w:eastAsia="黑体"/>
          <w:sz w:val="32"/>
          <w:szCs w:val="32"/>
        </w:rPr>
        <w:t>委 托 单 位</w:t>
      </w:r>
      <w:r>
        <w:rPr>
          <w:rFonts w:ascii="黑体" w:hAnsi="黑体" w:eastAsia="黑体"/>
          <w:sz w:val="32"/>
          <w:szCs w:val="32"/>
        </w:rPr>
        <w:t>：</w:t>
      </w:r>
      <w:r>
        <w:rPr>
          <w:rFonts w:hint="eastAsia" w:ascii="黑体" w:hAnsi="黑体" w:eastAsia="黑体"/>
          <w:sz w:val="32"/>
          <w:szCs w:val="32"/>
        </w:rPr>
        <w:t>青岛市即墨区财政局</w:t>
      </w:r>
    </w:p>
    <w:p>
      <w:pPr>
        <w:spacing w:line="570" w:lineRule="exact"/>
        <w:ind w:firstLine="800" w:firstLineChars="250"/>
        <w:rPr>
          <w:rFonts w:ascii="黑体" w:hAnsi="黑体" w:eastAsia="黑体"/>
          <w:sz w:val="32"/>
          <w:szCs w:val="32"/>
        </w:rPr>
      </w:pPr>
      <w:r>
        <w:rPr>
          <w:rFonts w:hint="eastAsia" w:ascii="黑体" w:hAnsi="黑体" w:eastAsia="黑体"/>
          <w:sz w:val="32"/>
          <w:szCs w:val="32"/>
        </w:rPr>
        <w:t>评 价 机 构：青岛同盛建设项目管理有限公司</w:t>
      </w:r>
    </w:p>
    <w:bookmarkEnd w:id="2"/>
    <w:p>
      <w:pPr>
        <w:spacing w:line="560" w:lineRule="exact"/>
        <w:rPr>
          <w:rFonts w:ascii="黑体" w:hAnsi="黑体" w:eastAsia="黑体"/>
          <w:sz w:val="32"/>
          <w:szCs w:val="32"/>
        </w:rPr>
      </w:pPr>
    </w:p>
    <w:p>
      <w:pPr>
        <w:spacing w:line="560" w:lineRule="exact"/>
        <w:rPr>
          <w:rFonts w:ascii="黑体" w:hAnsi="黑体" w:eastAsia="黑体"/>
          <w:sz w:val="32"/>
          <w:szCs w:val="32"/>
        </w:rPr>
      </w:pPr>
    </w:p>
    <w:p>
      <w:pPr>
        <w:spacing w:line="560" w:lineRule="exact"/>
        <w:jc w:val="center"/>
        <w:rPr>
          <w:rFonts w:ascii="黑体" w:hAnsi="黑体" w:eastAsia="黑体"/>
          <w:sz w:val="32"/>
          <w:szCs w:val="32"/>
        </w:rPr>
      </w:pPr>
      <w:r>
        <w:rPr>
          <w:rFonts w:hint="eastAsia" w:ascii="黑体" w:hAnsi="黑体" w:eastAsia="黑体"/>
          <w:sz w:val="32"/>
          <w:szCs w:val="32"/>
        </w:rPr>
        <w:t>二〇二〇年十一月</w:t>
      </w:r>
    </w:p>
    <w:p>
      <w:pPr>
        <w:spacing w:line="560" w:lineRule="exact"/>
        <w:ind w:firstLine="2880" w:firstLineChars="900"/>
        <w:rPr>
          <w:rFonts w:ascii="黑体" w:hAnsi="黑体" w:eastAsia="黑体"/>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701" w:right="1418" w:bottom="1418" w:left="1474" w:header="851" w:footer="1587" w:gutter="0"/>
          <w:pgNumType w:fmt="upperRoman" w:start="1"/>
          <w:cols w:space="720" w:num="1"/>
          <w:docGrid w:type="lines" w:linePitch="381" w:charSpace="0"/>
        </w:sectPr>
      </w:pPr>
    </w:p>
    <w:p>
      <w:pPr>
        <w:pStyle w:val="2"/>
        <w:jc w:val="center"/>
        <w:rPr>
          <w:rFonts w:ascii="方正小标宋简体" w:eastAsia="方正小标宋简体" w:hAnsiTheme="majorEastAsia"/>
          <w:sz w:val="44"/>
        </w:rPr>
      </w:pPr>
      <w:bookmarkStart w:id="3" w:name="_Toc57754026"/>
      <w:bookmarkStart w:id="7" w:name="_GoBack"/>
      <w:bookmarkEnd w:id="7"/>
      <w:r>
        <w:rPr>
          <w:rFonts w:hint="eastAsia" w:ascii="方正小标宋简体" w:eastAsia="方正小标宋简体" w:hAnsiTheme="majorEastAsia"/>
          <w:sz w:val="44"/>
        </w:rPr>
        <w:t>摘要</w:t>
      </w:r>
      <w:bookmarkEnd w:id="3"/>
    </w:p>
    <w:p>
      <w:pPr>
        <w:spacing w:after="0" w:line="570" w:lineRule="exact"/>
        <w:ind w:firstLine="641"/>
        <w:jc w:val="both"/>
        <w:rPr>
          <w:rFonts w:ascii="仿宋_GB2312" w:hAnsi="仿宋" w:eastAsia="仿宋_GB2312" w:cs="Times New Roman"/>
          <w:sz w:val="32"/>
          <w:szCs w:val="32"/>
        </w:rPr>
      </w:pPr>
      <w:r>
        <w:rPr>
          <w:rFonts w:hint="eastAsia" w:ascii="仿宋_GB2312" w:hAnsi="仿宋" w:eastAsia="仿宋_GB2312" w:cs="Times New Roman"/>
          <w:sz w:val="32"/>
          <w:szCs w:val="32"/>
        </w:rPr>
        <w:t>为贯彻落实《中共中央 国务院关于全面实施预算绩效管理的意见》（中发[2018]34号）精神，根据《中华人民共和国预算法》、</w:t>
      </w:r>
      <w:bookmarkStart w:id="4" w:name="_Hlk45782492"/>
      <w:r>
        <w:rPr>
          <w:rFonts w:hint="eastAsia" w:ascii="仿宋_GB2312" w:hAnsi="仿宋" w:eastAsia="仿宋_GB2312" w:cs="Times New Roman"/>
          <w:sz w:val="32"/>
          <w:szCs w:val="32"/>
        </w:rPr>
        <w:t>《青岛市预算绩效管理条例》、</w:t>
      </w:r>
      <w:bookmarkStart w:id="5" w:name="sendSubject"/>
      <w:r>
        <w:rPr>
          <w:rFonts w:hint="eastAsia" w:ascii="仿宋_GB2312" w:hAnsi="仿宋" w:eastAsia="仿宋_GB2312" w:cs="Times New Roman"/>
          <w:sz w:val="32"/>
          <w:szCs w:val="32"/>
        </w:rPr>
        <w:t>《青岛市财政支出绩效评价管理办法》</w:t>
      </w:r>
      <w:bookmarkEnd w:id="5"/>
      <w:r>
        <w:rPr>
          <w:rFonts w:hint="eastAsia" w:ascii="仿宋_GB2312" w:hAnsi="仿宋" w:eastAsia="仿宋_GB2312" w:cs="Times New Roman"/>
          <w:sz w:val="32"/>
          <w:szCs w:val="32"/>
        </w:rPr>
        <w:t>等规定</w:t>
      </w:r>
      <w:bookmarkEnd w:id="4"/>
      <w:r>
        <w:rPr>
          <w:rFonts w:hint="eastAsia" w:ascii="仿宋_GB2312" w:hAnsi="仿宋" w:eastAsia="仿宋_GB2312" w:cs="Times New Roman"/>
          <w:sz w:val="32"/>
          <w:szCs w:val="32"/>
        </w:rPr>
        <w:t>，我机构接受青岛市即墨区财政局的委托，对青岛市即墨区西部垃圾场管理运行及渗滤液处理专项资金开展绩效评价。</w:t>
      </w:r>
    </w:p>
    <w:p>
      <w:pPr>
        <w:spacing w:after="0" w:line="570" w:lineRule="exact"/>
        <w:ind w:firstLine="641"/>
        <w:jc w:val="both"/>
        <w:rPr>
          <w:rFonts w:ascii="仿宋_GB2312" w:hAnsi="仿宋" w:eastAsia="仿宋_GB2312" w:cs="Times New Roman"/>
          <w:sz w:val="32"/>
          <w:szCs w:val="32"/>
        </w:rPr>
      </w:pPr>
      <w:r>
        <w:rPr>
          <w:rFonts w:hint="eastAsia" w:ascii="仿宋_GB2312" w:hAnsi="仿宋" w:eastAsia="仿宋_GB2312" w:cs="Times New Roman"/>
          <w:sz w:val="32"/>
          <w:szCs w:val="32"/>
        </w:rPr>
        <w:t>即墨区西部垃圾处理场位于即墨区大信镇蓝鳌路及青威路交接处西北（东经120.298153°,北纬36.390250°）。该项目于2012年8月开工建设，2012年12月投入运行，其中：生活垃圾卫生填埋区已于2016年10月封场，目前仅飞灰填埋区正常填埋作业。本项目2019年安排预算资金570万元，主要对垃圾产生的渗滤液和飞灰进行处理，渗滤液处理专用药物（如除臭剂OPM、纯碱、葡萄糖等）按照政府采购相关规定组织实施。</w:t>
      </w:r>
    </w:p>
    <w:p>
      <w:pPr>
        <w:spacing w:after="0" w:line="570" w:lineRule="exact"/>
        <w:ind w:firstLine="641"/>
        <w:jc w:val="both"/>
        <w:rPr>
          <w:rFonts w:ascii="仿宋_GB2312" w:hAnsi="仿宋" w:eastAsia="仿宋_GB2312" w:cs="Times New Roman"/>
          <w:sz w:val="32"/>
          <w:szCs w:val="32"/>
        </w:rPr>
      </w:pPr>
      <w:r>
        <w:rPr>
          <w:rFonts w:hint="eastAsia" w:ascii="仿宋_GB2312" w:hAnsi="仿宋" w:eastAsia="仿宋_GB2312" w:cs="Times New Roman"/>
          <w:sz w:val="32"/>
          <w:szCs w:val="32"/>
        </w:rPr>
        <w:t>西部垃圾场管理运行及渗滤液处理专项资金作为区级专项资金的延续项目，项目主管部门为青岛市即墨区住房和城乡建设局（原即墨市城建局，下同）。专项资金承担单位为青岛市即墨区园林环卫服务中心（原即墨市园林环卫管理处，下同），项目具体实施运营单位为即墨市环卫中心（即墨区环卫中心，下同）。</w:t>
      </w:r>
    </w:p>
    <w:p>
      <w:pPr>
        <w:spacing w:after="0" w:line="570" w:lineRule="exact"/>
        <w:ind w:firstLine="641"/>
        <w:jc w:val="both"/>
        <w:rPr>
          <w:rFonts w:ascii="仿宋_GB2312" w:hAnsi="仿宋" w:eastAsia="仿宋_GB2312" w:cs="Times New Roman"/>
          <w:sz w:val="32"/>
          <w:szCs w:val="32"/>
        </w:rPr>
      </w:pPr>
      <w:r>
        <w:rPr>
          <w:rFonts w:hint="eastAsia" w:ascii="仿宋_GB2312" w:hAnsi="仿宋" w:eastAsia="仿宋_GB2312" w:cs="Times New Roman"/>
          <w:sz w:val="32"/>
          <w:szCs w:val="32"/>
        </w:rPr>
        <w:t>即墨区住房和城乡建设局为实现政企分开，加强城乡环卫管理工作，于2016年初通过《关于将西部、灵山垃圾场以及七座镇级压缩转运站和环卫智能管理平台一并移交市环卫中心管理的会议纪要》（2016年1月19日），“…经研究同意，将西部、灵山两处垃圾场日常管理及七座镇级生活垃圾压缩转运站和环卫智能化管理平台的日常运营管理一并移交市环卫中心…”自2016年1月1日起，原垃圾场企业在册人员劳动关系转入即墨市环卫中心并纳入日常管理，区园林环卫服务中心与即墨市环卫中心签订服务委托管理协议，由即墨区园林环卫服务中心定期按时拨付专项经费，区环卫中心使用专项资金并接受区财政、审计部门监督检查。</w:t>
      </w:r>
    </w:p>
    <w:p>
      <w:pPr>
        <w:spacing w:after="0" w:line="570" w:lineRule="exact"/>
        <w:ind w:firstLine="641"/>
        <w:jc w:val="both"/>
        <w:rPr>
          <w:rFonts w:ascii="仿宋_GB2312" w:hAnsi="仿宋" w:eastAsia="仿宋_GB2312" w:cs="Times New Roman"/>
          <w:sz w:val="32"/>
          <w:szCs w:val="32"/>
        </w:rPr>
      </w:pPr>
      <w:r>
        <w:rPr>
          <w:rFonts w:hint="eastAsia" w:ascii="仿宋_GB2312" w:hAnsi="仿宋" w:eastAsia="仿宋_GB2312" w:cs="Times New Roman"/>
          <w:sz w:val="32"/>
          <w:szCs w:val="32"/>
        </w:rPr>
        <w:t>为保障我区生活垃圾安全处理的需要，满足《生活垃圾填埋场污染控制标准》GJ16889-2008的要求，按照生活垃圾场管理规定和西部垃圾场的实际情况，区园林环卫服务中心将本项目编入2019年部门预算，根据《关于批复2019年区级部门预算的通知》（即财预[2019]10号），将2019年度专项资金批复给青岛市即墨区园林环卫服务中心，按照“批复给谁、谁负责”的原则办理。</w:t>
      </w:r>
    </w:p>
    <w:p>
      <w:pPr>
        <w:spacing w:after="0" w:line="570" w:lineRule="exact"/>
        <w:ind w:firstLine="641"/>
        <w:jc w:val="both"/>
        <w:rPr>
          <w:rFonts w:ascii="仿宋_GB2312" w:hAnsi="仿宋" w:eastAsia="仿宋_GB2312" w:cs="Times New Roman"/>
          <w:sz w:val="32"/>
          <w:szCs w:val="32"/>
        </w:rPr>
      </w:pPr>
      <w:r>
        <w:rPr>
          <w:rFonts w:hint="eastAsia" w:ascii="仿宋_GB2312" w:hAnsi="仿宋" w:eastAsia="仿宋_GB2312" w:cs="Times New Roman"/>
          <w:kern w:val="2"/>
          <w:sz w:val="32"/>
          <w:szCs w:val="32"/>
        </w:rPr>
        <w:t>即墨区园林环卫服务中心委托</w:t>
      </w:r>
      <w:r>
        <w:rPr>
          <w:rFonts w:hint="eastAsia" w:ascii="仿宋_GB2312" w:hAnsi="仿宋" w:eastAsia="仿宋_GB2312" w:cs="Times New Roman"/>
          <w:sz w:val="32"/>
          <w:szCs w:val="32"/>
        </w:rPr>
        <w:t>即墨市环卫中心，按照《生活垃圾填埋场污染控制标准》GJ16889-2008的要求，对西部垃圾场的运行日常规范管理及产生的渗滤液进行处理，渗滤液处理率达到100%。</w:t>
      </w:r>
    </w:p>
    <w:p>
      <w:pPr>
        <w:spacing w:after="0" w:line="570" w:lineRule="exact"/>
        <w:ind w:firstLine="641"/>
        <w:jc w:val="both"/>
        <w:rPr>
          <w:rFonts w:ascii="仿宋_GB2312" w:hAnsi="仿宋" w:eastAsia="仿宋_GB2312" w:cs="Times New Roman"/>
          <w:sz w:val="32"/>
          <w:szCs w:val="32"/>
        </w:rPr>
      </w:pPr>
      <w:r>
        <w:rPr>
          <w:rFonts w:hint="eastAsia" w:ascii="仿宋_GB2312" w:hAnsi="仿宋" w:eastAsia="仿宋_GB2312" w:cs="Times New Roman"/>
          <w:sz w:val="32"/>
          <w:szCs w:val="32"/>
        </w:rPr>
        <w:t>2019年西部垃圾场管理运行及渗滤液处理专项资金实际拨付570万元，预算执行率为100%。</w:t>
      </w:r>
    </w:p>
    <w:p>
      <w:pPr>
        <w:pStyle w:val="33"/>
        <w:spacing w:line="570" w:lineRule="exact"/>
        <w:ind w:firstLine="640"/>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青岛市即墨区财政局</w:t>
      </w:r>
      <w:r>
        <w:rPr>
          <w:rFonts w:hint="eastAsia" w:ascii="仿宋_GB2312" w:hAnsi="仿宋" w:eastAsia="仿宋_GB2312"/>
          <w:sz w:val="32"/>
          <w:szCs w:val="32"/>
        </w:rPr>
        <w:t>于2020年8月4日</w:t>
      </w:r>
      <w:r>
        <w:rPr>
          <w:rFonts w:hint="eastAsia" w:ascii="仿宋_GB2312" w:hAnsi="仿宋" w:eastAsia="仿宋_GB2312"/>
          <w:kern w:val="2"/>
          <w:sz w:val="32"/>
          <w:szCs w:val="32"/>
        </w:rPr>
        <w:t>印发</w:t>
      </w:r>
      <w:r>
        <w:rPr>
          <w:rFonts w:hint="eastAsia" w:ascii="仿宋_GB2312" w:hAnsi="仿宋" w:eastAsia="仿宋_GB2312" w:cs="Times New Roman"/>
          <w:kern w:val="2"/>
          <w:sz w:val="32"/>
          <w:szCs w:val="32"/>
        </w:rPr>
        <w:t>《</w:t>
      </w:r>
      <w:r>
        <w:rPr>
          <w:rFonts w:hint="eastAsia" w:ascii="仿宋_GB2312" w:hAnsi="仿宋" w:eastAsia="仿宋_GB2312"/>
          <w:sz w:val="32"/>
          <w:szCs w:val="32"/>
        </w:rPr>
        <w:t>关于组织开展</w:t>
      </w:r>
      <w:bookmarkStart w:id="6" w:name="_Hlk47777522"/>
      <w:r>
        <w:rPr>
          <w:rFonts w:hint="eastAsia" w:ascii="仿宋_GB2312" w:hAnsi="仿宋" w:eastAsia="仿宋_GB2312"/>
          <w:sz w:val="32"/>
          <w:szCs w:val="32"/>
        </w:rPr>
        <w:t>2019年灵山、西部垃圾场运行及渗滤液处理专项资金</w:t>
      </w:r>
      <w:bookmarkEnd w:id="6"/>
      <w:r>
        <w:rPr>
          <w:rFonts w:hint="eastAsia" w:ascii="仿宋_GB2312" w:hAnsi="仿宋" w:eastAsia="仿宋_GB2312"/>
          <w:sz w:val="32"/>
          <w:szCs w:val="32"/>
        </w:rPr>
        <w:t>绩效评价工作的通知》（即财绩效函[2020]17号）</w:t>
      </w:r>
      <w:r>
        <w:rPr>
          <w:rFonts w:hint="eastAsia" w:ascii="仿宋_GB2312" w:hAnsi="仿宋" w:eastAsia="仿宋_GB2312" w:cs="Times New Roman"/>
          <w:kern w:val="2"/>
          <w:sz w:val="32"/>
          <w:szCs w:val="32"/>
        </w:rPr>
        <w:t>，评价机构成立了</w:t>
      </w:r>
      <w:r>
        <w:rPr>
          <w:rFonts w:hint="eastAsia" w:ascii="仿宋_GB2312" w:hAnsi="仿宋" w:eastAsia="仿宋_GB2312"/>
          <w:kern w:val="2"/>
          <w:sz w:val="32"/>
          <w:szCs w:val="32"/>
        </w:rPr>
        <w:t>2019年</w:t>
      </w:r>
      <w:r>
        <w:rPr>
          <w:rFonts w:hint="eastAsia" w:ascii="仿宋_GB2312" w:hAnsi="仿宋" w:eastAsia="仿宋_GB2312"/>
          <w:sz w:val="32"/>
          <w:szCs w:val="32"/>
        </w:rPr>
        <w:t>西部垃圾场运行及渗滤液处理专项资金</w:t>
      </w:r>
      <w:r>
        <w:rPr>
          <w:rFonts w:hint="eastAsia" w:ascii="仿宋_GB2312" w:hAnsi="仿宋" w:eastAsia="仿宋_GB2312" w:cs="Times New Roman"/>
          <w:kern w:val="2"/>
          <w:sz w:val="32"/>
          <w:szCs w:val="32"/>
        </w:rPr>
        <w:t>绩效评价工作小组。评价小组依据财政部发布的绩效评价基本指标评价体系及评分标准，制定了《绩效评价工作方案》。根据评价方案，通过对基础数据填报、现场查看、实地调研、问卷调查获取的数据进行整理和分析，评价小组进行了独立、客观的评价。</w:t>
      </w:r>
    </w:p>
    <w:p>
      <w:pPr>
        <w:pStyle w:val="33"/>
        <w:spacing w:line="570" w:lineRule="exact"/>
        <w:ind w:firstLine="640"/>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本次评价的目的在于全面、真实、客观地反映</w:t>
      </w:r>
      <w:r>
        <w:rPr>
          <w:rFonts w:hint="eastAsia" w:ascii="仿宋_GB2312" w:hAnsi="仿宋" w:eastAsia="仿宋_GB2312"/>
          <w:kern w:val="2"/>
          <w:sz w:val="32"/>
          <w:szCs w:val="32"/>
        </w:rPr>
        <w:t>2019年</w:t>
      </w:r>
      <w:r>
        <w:rPr>
          <w:rFonts w:hint="eastAsia" w:ascii="仿宋_GB2312" w:hAnsi="仿宋" w:eastAsia="仿宋_GB2312"/>
          <w:sz w:val="32"/>
          <w:szCs w:val="32"/>
        </w:rPr>
        <w:t>西部垃圾场运行及渗滤液处理专项资金</w:t>
      </w:r>
      <w:r>
        <w:rPr>
          <w:rFonts w:hint="eastAsia" w:ascii="仿宋_GB2312" w:hAnsi="仿宋" w:eastAsia="仿宋_GB2312" w:cs="Times New Roman"/>
          <w:kern w:val="2"/>
          <w:sz w:val="32"/>
          <w:szCs w:val="32"/>
        </w:rPr>
        <w:t>使用和绩效状况，总结资金使用情况和管理经验以及不足之处，积极探索可行、有效的解决方案和项目管理改进建议。为了使得本项目量化得分保持整体性与完整性，采取将西部</w:t>
      </w:r>
      <w:r>
        <w:rPr>
          <w:rFonts w:hint="eastAsia" w:ascii="仿宋_GB2312" w:hAnsi="仿宋" w:eastAsia="仿宋_GB2312"/>
          <w:kern w:val="2"/>
          <w:sz w:val="32"/>
          <w:szCs w:val="32"/>
        </w:rPr>
        <w:t xml:space="preserve">垃圾处理场2019 </w:t>
      </w:r>
      <w:r>
        <w:rPr>
          <w:rFonts w:hint="eastAsia" w:ascii="仿宋_GB2312" w:hAnsi="仿宋" w:eastAsia="仿宋_GB2312" w:cs="Times New Roman"/>
          <w:kern w:val="2"/>
          <w:sz w:val="32"/>
          <w:szCs w:val="32"/>
        </w:rPr>
        <w:t>年</w:t>
      </w:r>
      <w:r>
        <w:rPr>
          <w:rFonts w:hint="eastAsia" w:ascii="仿宋_GB2312" w:hAnsi="仿宋" w:eastAsia="仿宋_GB2312"/>
          <w:kern w:val="2"/>
          <w:sz w:val="32"/>
          <w:szCs w:val="32"/>
        </w:rPr>
        <w:t>专项资金使用及项目运营记录资料逐一进行数据收集和分析的方法，根据指标体系结合项目实际情况对被评价单位项目进行打分。</w:t>
      </w:r>
    </w:p>
    <w:p>
      <w:pPr>
        <w:pStyle w:val="33"/>
        <w:spacing w:line="570" w:lineRule="exact"/>
        <w:ind w:firstLine="640"/>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经评价，</w:t>
      </w:r>
      <w:r>
        <w:rPr>
          <w:rFonts w:hint="eastAsia" w:ascii="仿宋_GB2312" w:hAnsi="仿宋" w:eastAsia="仿宋_GB2312"/>
          <w:kern w:val="2"/>
          <w:sz w:val="32"/>
          <w:szCs w:val="32"/>
        </w:rPr>
        <w:t>2019</w:t>
      </w:r>
      <w:r>
        <w:rPr>
          <w:rFonts w:hint="eastAsia" w:ascii="仿宋_GB2312" w:hAnsi="仿宋" w:eastAsia="仿宋_GB2312" w:cs="Times New Roman"/>
          <w:kern w:val="2"/>
          <w:sz w:val="32"/>
          <w:szCs w:val="32"/>
        </w:rPr>
        <w:t>年</w:t>
      </w:r>
      <w:r>
        <w:rPr>
          <w:rFonts w:hint="eastAsia" w:ascii="仿宋_GB2312" w:hAnsi="仿宋" w:eastAsia="仿宋_GB2312"/>
          <w:sz w:val="32"/>
          <w:szCs w:val="32"/>
        </w:rPr>
        <w:t>西部垃圾场运行及渗滤液处理专项资金</w:t>
      </w:r>
      <w:r>
        <w:rPr>
          <w:rFonts w:hint="eastAsia" w:ascii="仿宋_GB2312" w:hAnsi="仿宋" w:eastAsia="仿宋_GB2312" w:cs="Times New Roman"/>
          <w:kern w:val="2"/>
          <w:sz w:val="32"/>
          <w:szCs w:val="32"/>
        </w:rPr>
        <w:t>绩效评价整体评分为：</w:t>
      </w:r>
      <w:r>
        <w:rPr>
          <w:rFonts w:hint="eastAsia" w:ascii="仿宋_GB2312" w:hAnsi="仿宋" w:eastAsia="仿宋_GB2312"/>
          <w:kern w:val="2"/>
          <w:sz w:val="32"/>
          <w:szCs w:val="32"/>
        </w:rPr>
        <w:t>79.55</w:t>
      </w:r>
      <w:r>
        <w:rPr>
          <w:rFonts w:hint="eastAsia" w:ascii="仿宋_GB2312" w:hAnsi="仿宋" w:eastAsia="仿宋_GB2312" w:cs="Times New Roman"/>
          <w:kern w:val="2"/>
          <w:sz w:val="32"/>
          <w:szCs w:val="32"/>
        </w:rPr>
        <w:t>分，评价结论为“中”。该项目资金使用基本达到设定的绩效目标，但评价中也发现一些问题，需在今后的工作中予以调整和完善。</w:t>
      </w:r>
    </w:p>
    <w:p>
      <w:pPr>
        <w:pStyle w:val="2"/>
        <w:spacing w:line="570" w:lineRule="exact"/>
        <w:ind w:firstLine="640" w:firstLineChars="200"/>
        <w:rPr>
          <w:rFonts w:ascii="黑体" w:hAnsi="黑体"/>
          <w:sz w:val="32"/>
          <w:szCs w:val="32"/>
        </w:rPr>
      </w:pPr>
      <w:r>
        <w:rPr>
          <w:rFonts w:hint="eastAsia" w:ascii="黑体" w:hAnsi="黑体"/>
          <w:sz w:val="32"/>
          <w:szCs w:val="32"/>
        </w:rPr>
        <w:t>一、本项目主要</w:t>
      </w:r>
      <w:r>
        <w:rPr>
          <w:rFonts w:ascii="黑体" w:hAnsi="黑体"/>
          <w:sz w:val="32"/>
          <w:szCs w:val="32"/>
        </w:rPr>
        <w:t>绩效</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（一）专项资金设置对促进公共事业发展</w:t>
      </w:r>
      <w:r>
        <w:rPr>
          <w:rFonts w:ascii="楷体_GB2312" w:hAnsi="仿宋" w:eastAsia="楷体_GB2312" w:cs="Times New Roman"/>
          <w:b w:val="0"/>
          <w:bCs w:val="0"/>
          <w:kern w:val="2"/>
        </w:rPr>
        <w:t>、</w:t>
      </w:r>
      <w:r>
        <w:rPr>
          <w:rFonts w:hint="eastAsia" w:ascii="楷体_GB2312" w:hAnsi="仿宋" w:eastAsia="楷体_GB2312" w:cs="Times New Roman"/>
          <w:b w:val="0"/>
          <w:bCs w:val="0"/>
          <w:kern w:val="2"/>
        </w:rPr>
        <w:t>保障城市基础设施正常运行具有重要的意义</w:t>
      </w:r>
    </w:p>
    <w:p>
      <w:pPr>
        <w:spacing w:after="0" w:line="570" w:lineRule="exact"/>
        <w:ind w:firstLine="643"/>
        <w:jc w:val="both"/>
        <w:rPr>
          <w:rFonts w:ascii="仿宋_GB2312" w:hAnsi="仿宋" w:eastAsia="仿宋_GB2312" w:cs="Times New Roman"/>
          <w:sz w:val="32"/>
          <w:szCs w:val="32"/>
        </w:rPr>
      </w:pPr>
      <w:r>
        <w:rPr>
          <w:rFonts w:hint="eastAsia" w:ascii="仿宋_GB2312" w:hAnsi="仿宋" w:eastAsia="仿宋_GB2312" w:cs="Times New Roman"/>
          <w:sz w:val="32"/>
          <w:szCs w:val="32"/>
        </w:rPr>
        <w:t>区级专项资金的设置对保障西部垃圾场正常运行、环卫基础设施安全，通过专业的处理方式和设立专项资金予以保障，对项目的持续运行具有重要的意义。</w:t>
      </w:r>
    </w:p>
    <w:p>
      <w:pPr>
        <w:spacing w:after="0" w:line="570" w:lineRule="exact"/>
        <w:ind w:firstLine="643"/>
        <w:jc w:val="both"/>
        <w:rPr>
          <w:rFonts w:ascii="仿宋" w:hAnsi="仿宋" w:eastAsia="仿宋" w:cs="Times New Roman"/>
          <w:color w:val="C00000"/>
          <w:sz w:val="32"/>
          <w:szCs w:val="32"/>
        </w:rPr>
      </w:pPr>
      <w:r>
        <w:rPr>
          <w:rFonts w:hint="eastAsia" w:ascii="仿宋_GB2312" w:hAnsi="仿宋" w:eastAsia="仿宋_GB2312" w:cs="Times New Roman"/>
          <w:sz w:val="32"/>
          <w:szCs w:val="32"/>
        </w:rPr>
        <w:t>西部垃圾处理场运营管理机构，按照行业环保标准和垃圾处理的要求，采用专业化的技术和管理方法，通过运营管理保证生活垃圾处理安全。垃圾填埋后产生的渗滤液全部通过收集系统进入厂区配套的渗滤液处理站进行综合无害化处理，处理工艺采用“调节池+外置式MBR系统（反硝化罐+硝化罐+超滤系统）+纳滤系统+反渗透系统”工艺，渗滤液经工艺处理达到《生活垃圾填埋场污染控制标准》中水排放要求，综合利用后，剩余部分通过专用管网排放至区西部污水处理厂综合处理。</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（二）项目实施注重生态环境保护，对城市可持续发展具有重要的生态效益</w:t>
      </w:r>
    </w:p>
    <w:p>
      <w:pPr>
        <w:spacing w:after="0" w:line="57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人类经济和社会的发展不能超越资源和环境的承载能力，环境保护是可持续发展的重要方面，卫生填埋的处理方法具有技术可靠、操作管理简单、不需要进行后续处置、处理量大、对垃圾成分没有严格要求、投资运营成本较低等优点。根据监测机构对西部垃圾场主要污染物排放浓度的监测结果显示，2019年度西部垃圾场废水排放无超标情况发生，符合环保要求。根据检测机构对西部垃圾场土壤的检测结果显示，西部垃圾场的生活垃圾填埋区产生的渗滤液经妥善处理后，达到环境保护对土壤污染控制标准的限值要求。为了避免出现突发环境事件，市环卫中心制定了《即墨区西部垃圾场突发环境事件应急预案》，并经青岛市生态环境局即墨分局备案（备案编号：370215-2019-091-L），从源头保证对生态环境的影响降低到最低程度。</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（三）项目实施避免渗滤液对周边环境造成二次污染，保障居民生活，促进可持续性发展</w:t>
      </w:r>
    </w:p>
    <w:p>
      <w:pPr>
        <w:spacing w:after="0" w:line="570" w:lineRule="exact"/>
        <w:ind w:firstLine="643"/>
        <w:jc w:val="both"/>
        <w:rPr>
          <w:rFonts w:ascii="仿宋_GB2312" w:hAnsi="仿宋" w:eastAsia="仿宋_GB2312" w:cs="Times New Roman"/>
          <w:sz w:val="32"/>
          <w:szCs w:val="32"/>
        </w:rPr>
      </w:pPr>
      <w:r>
        <w:rPr>
          <w:rFonts w:hint="eastAsia" w:ascii="仿宋_GB2312" w:hAnsi="Times New Roman" w:eastAsia="仿宋_GB2312"/>
          <w:sz w:val="32"/>
          <w:szCs w:val="28"/>
        </w:rPr>
        <w:t>西部垃圾处理场</w:t>
      </w:r>
      <w:r>
        <w:rPr>
          <w:rFonts w:hint="eastAsia" w:ascii="仿宋_GB2312" w:hAnsi="仿宋" w:eastAsia="仿宋_GB2312" w:cs="Times New Roman"/>
          <w:sz w:val="32"/>
          <w:szCs w:val="32"/>
        </w:rPr>
        <w:t>于2012年8月开工建设，2012年12月投入运行，生活垃圾卫生填埋区于2016年10月封场。项目持续运行过程中未发生渗滤液渗漏等安全事故。渗滤液的处理是保证垃圾长期、安全处置的关键，更是保障区域内地表水、地下水安全的重要手段。西部垃圾场根据《生活垃圾填埋场污染控制标准》GJ16889-2008的规定，保证对污染物危害性的有效消除，阻止渗滤液继续污染周边环境</w:t>
      </w:r>
      <w:r>
        <w:rPr>
          <w:rFonts w:hint="eastAsia" w:ascii="仿宋_GB2312" w:hAnsi="Times New Roman" w:eastAsia="仿宋_GB2312"/>
          <w:sz w:val="32"/>
          <w:szCs w:val="28"/>
        </w:rPr>
        <w:t>，</w:t>
      </w:r>
      <w:r>
        <w:rPr>
          <w:rFonts w:hint="eastAsia" w:ascii="仿宋_GB2312" w:hAnsi="仿宋" w:eastAsia="仿宋_GB2312" w:cs="Times New Roman"/>
          <w:sz w:val="32"/>
          <w:szCs w:val="32"/>
        </w:rPr>
        <w:t>保障居民生活,促进可持续发展。</w:t>
      </w:r>
    </w:p>
    <w:p>
      <w:pPr>
        <w:pStyle w:val="2"/>
        <w:spacing w:line="570" w:lineRule="exact"/>
        <w:ind w:firstLine="640" w:firstLineChars="200"/>
        <w:rPr>
          <w:rFonts w:ascii="黑体" w:hAnsi="黑体"/>
          <w:sz w:val="32"/>
          <w:szCs w:val="32"/>
        </w:rPr>
      </w:pPr>
      <w:r>
        <w:rPr>
          <w:rFonts w:hint="eastAsia" w:ascii="黑体" w:hAnsi="黑体"/>
          <w:sz w:val="32"/>
          <w:szCs w:val="32"/>
        </w:rPr>
        <w:t>二、存在的</w:t>
      </w:r>
      <w:r>
        <w:rPr>
          <w:rFonts w:ascii="黑体" w:hAnsi="黑体"/>
          <w:sz w:val="32"/>
          <w:szCs w:val="32"/>
        </w:rPr>
        <w:t>问题</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（一）专项资金存在非预算批复范围内的支出</w:t>
      </w:r>
    </w:p>
    <w:p>
      <w:pPr>
        <w:pStyle w:val="33"/>
        <w:spacing w:line="570" w:lineRule="exact"/>
        <w:ind w:firstLine="640"/>
        <w:rPr>
          <w:rFonts w:ascii="仿宋_GB2312" w:hAnsi="仿宋" w:eastAsia="仿宋_GB2312"/>
          <w:sz w:val="32"/>
          <w:szCs w:val="32"/>
        </w:rPr>
      </w:pPr>
      <w:r>
        <w:rPr>
          <w:rFonts w:hint="eastAsia" w:ascii="仿宋_GB2312" w:hAnsi="仿宋" w:eastAsia="仿宋_GB2312"/>
          <w:sz w:val="32"/>
          <w:szCs w:val="32"/>
        </w:rPr>
        <w:t>根据被评价单位提供的数据资料，专项资金中“人工费”支出合计157.02万元，其中包含垃圾场工作人员工资福利类支出96.69万元和“镇级垃圾运转站”人员工资支出60.33万元。经查阅相关资料和本专项资金绩效目标申报、批复表，得出初步结论，“镇级垃圾运转站”人员工资支出不在本专项资金保障范围内，属项目单位承担其他公益事业费用支出，应设立专项资金予以保障。</w:t>
      </w:r>
    </w:p>
    <w:p>
      <w:pPr>
        <w:pStyle w:val="33"/>
        <w:spacing w:line="570" w:lineRule="exact"/>
        <w:ind w:firstLine="640"/>
        <w:rPr>
          <w:rFonts w:ascii="仿宋_GB2312" w:hAnsi="仿宋" w:eastAsia="仿宋_GB2312" w:cs="Times New Roman"/>
          <w:kern w:val="2"/>
          <w:sz w:val="32"/>
          <w:szCs w:val="32"/>
        </w:rPr>
      </w:pPr>
      <w:r>
        <w:rPr>
          <w:rFonts w:hint="eastAsia" w:ascii="仿宋_GB2312" w:hAnsi="仿宋" w:eastAsia="仿宋_GB2312"/>
          <w:sz w:val="32"/>
          <w:szCs w:val="32"/>
        </w:rPr>
        <w:t>2019年度项目企业自专项资金中支付借款利息</w:t>
      </w:r>
      <w:r>
        <w:rPr>
          <w:rFonts w:hint="eastAsia" w:ascii="仿宋_GB2312" w:hAnsi="仿宋" w:eastAsia="仿宋_GB2312" w:cs="Times New Roman"/>
          <w:kern w:val="2"/>
          <w:sz w:val="32"/>
          <w:szCs w:val="32"/>
        </w:rPr>
        <w:t>5.45万元，上述问题反映出部分专项资金使用不完全符合项目绩效目标设定的使用方向。</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（二）管理制度执行有效性方面，药品使用量与采购量存在偏差</w:t>
      </w:r>
    </w:p>
    <w:p>
      <w:pPr>
        <w:pStyle w:val="33"/>
        <w:spacing w:line="570" w:lineRule="exact"/>
        <w:ind w:firstLine="640"/>
        <w:rPr>
          <w:rFonts w:ascii="仿宋_GB2312" w:hAnsi="仿宋" w:eastAsia="仿宋_GB2312"/>
          <w:sz w:val="32"/>
          <w:szCs w:val="32"/>
        </w:rPr>
      </w:pPr>
      <w:r>
        <w:rPr>
          <w:rFonts w:hint="eastAsia" w:ascii="仿宋_GB2312" w:hAnsi="仿宋" w:eastAsia="仿宋_GB2312"/>
          <w:sz w:val="32"/>
          <w:szCs w:val="32"/>
        </w:rPr>
        <w:t>评价中发现，实施单位在运行过程中渗滤液处理使用添加药品的出入库记录、运行日志和实际使用量等基础数据均存在偏差，不能真实反映其生产管理全过程。评价小组经对比、测算得出初步结论，实施企业未建立有效的运行日志，主要药品采购量与实际使用量存在偏差，个别种类药品年度预算数量比实际使用量偏大。</w:t>
      </w:r>
    </w:p>
    <w:p>
      <w:pPr>
        <w:pStyle w:val="2"/>
        <w:spacing w:line="570" w:lineRule="exact"/>
        <w:ind w:firstLine="640" w:firstLineChars="200"/>
        <w:rPr>
          <w:rFonts w:ascii="黑体" w:hAnsi="黑体"/>
          <w:sz w:val="32"/>
          <w:szCs w:val="32"/>
        </w:rPr>
      </w:pPr>
      <w:r>
        <w:rPr>
          <w:rFonts w:hint="eastAsia" w:ascii="黑体" w:hAnsi="黑体"/>
          <w:sz w:val="32"/>
          <w:szCs w:val="32"/>
        </w:rPr>
        <w:t>三、管理</w:t>
      </w:r>
      <w:r>
        <w:rPr>
          <w:rFonts w:ascii="黑体" w:hAnsi="黑体"/>
          <w:sz w:val="32"/>
          <w:szCs w:val="32"/>
        </w:rPr>
        <w:t>建议</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（一）加强专项资金预算绩效管理，建议调整项目以后年度预算</w:t>
      </w:r>
    </w:p>
    <w:p>
      <w:pPr>
        <w:pStyle w:val="33"/>
        <w:spacing w:line="570" w:lineRule="exact"/>
        <w:ind w:firstLine="640"/>
        <w:rPr>
          <w:rFonts w:ascii="仿宋_GB2312" w:hAnsi="仿宋" w:eastAsia="仿宋_GB2312"/>
          <w:sz w:val="32"/>
          <w:szCs w:val="32"/>
        </w:rPr>
      </w:pPr>
      <w:r>
        <w:rPr>
          <w:rFonts w:hint="eastAsia" w:ascii="仿宋_GB2312" w:hAnsi="仿宋" w:eastAsia="仿宋_GB2312"/>
          <w:sz w:val="32"/>
          <w:szCs w:val="32"/>
        </w:rPr>
        <w:t>根据本次评价情况，本专项资金中存在“镇级垃圾运转站”人员工资费用支出60.33万元，属项目单位承担其他公益事业，建议安排其他专项资金予以保障，从本专项资金中调减。药品采购费用建议按照本次评价测算的实际使用量126.01万元确定其采购限额，以后年度本专项资金建议安排金额为497万元。专项资金应严格按照绩效目标批复范围内支出项目组织实施，做到专款专用，不应列支其他费用。</w:t>
      </w:r>
    </w:p>
    <w:p>
      <w:pPr>
        <w:pStyle w:val="33"/>
        <w:spacing w:line="570" w:lineRule="exact"/>
        <w:ind w:firstLine="640"/>
        <w:rPr>
          <w:rFonts w:ascii="仿宋_GB2312" w:hAnsi="仿宋" w:eastAsia="仿宋_GB2312"/>
          <w:sz w:val="32"/>
          <w:szCs w:val="32"/>
        </w:rPr>
      </w:pPr>
      <w:r>
        <w:rPr>
          <w:rFonts w:hint="eastAsia" w:ascii="仿宋_GB2312" w:hAnsi="仿宋" w:eastAsia="仿宋_GB2312"/>
          <w:sz w:val="32"/>
          <w:szCs w:val="32"/>
        </w:rPr>
        <w:t>建议将2019年度自本专项资金中支付的借款利息5.45万元 ，自2020年预算执行中予以扣回。</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（二）提高内部管理水平，严格执行内控制度</w:t>
      </w:r>
    </w:p>
    <w:p>
      <w:pPr>
        <w:pStyle w:val="33"/>
        <w:spacing w:line="570" w:lineRule="exact"/>
        <w:ind w:firstLine="640"/>
        <w:rPr>
          <w:rFonts w:ascii="仿宋_GB2312" w:hAnsi="仿宋" w:eastAsia="仿宋_GB2312" w:cs="仿宋"/>
          <w:bCs/>
          <w:kern w:val="2"/>
          <w:sz w:val="32"/>
          <w:szCs w:val="32"/>
        </w:rPr>
      </w:pPr>
      <w:r>
        <w:rPr>
          <w:rFonts w:hint="eastAsia" w:ascii="仿宋_GB2312" w:hAnsi="仿宋" w:eastAsia="仿宋_GB2312" w:cs="仿宋"/>
          <w:bCs/>
          <w:kern w:val="2"/>
          <w:sz w:val="32"/>
          <w:szCs w:val="32"/>
        </w:rPr>
        <w:t>建议根据《中华人民共和国会计法》、《中华人民共和国预算法》等法律法规和相关规定，建立、健全符合本单位工作实际的内部控制体系，并严格实施。在此基础上根据相关规定组织修订单位内部管理制度并贯彻执行。建议预算单位组织实施企业根据垃圾场目前渗滤液产生量重新核定药品需求用量，保证主要药品按需采购，按实领用，按量添加。</w:t>
      </w:r>
    </w:p>
    <w:p>
      <w:pPr>
        <w:pStyle w:val="3"/>
        <w:keepNext w:val="0"/>
        <w:keepLines w:val="0"/>
        <w:widowControl w:val="0"/>
        <w:kinsoku w:val="0"/>
        <w:overflowPunct w:val="0"/>
        <w:autoSpaceDE w:val="0"/>
        <w:autoSpaceDN w:val="0"/>
        <w:adjustRightInd/>
        <w:snapToGrid/>
        <w:spacing w:before="0" w:after="0" w:line="570" w:lineRule="exact"/>
        <w:ind w:firstLine="640" w:firstLineChars="200"/>
        <w:jc w:val="both"/>
        <w:rPr>
          <w:rFonts w:ascii="楷体_GB2312" w:hAnsi="仿宋" w:eastAsia="楷体_GB2312" w:cs="Times New Roman"/>
          <w:b w:val="0"/>
          <w:bCs w:val="0"/>
          <w:kern w:val="2"/>
        </w:rPr>
      </w:pPr>
      <w:r>
        <w:rPr>
          <w:rFonts w:hint="eastAsia" w:ascii="楷体_GB2312" w:hAnsi="仿宋" w:eastAsia="楷体_GB2312" w:cs="Times New Roman"/>
          <w:b w:val="0"/>
          <w:bCs w:val="0"/>
          <w:kern w:val="2"/>
        </w:rPr>
        <w:t>（三）树立部门预算绩效主体责任意识，提高财政资金绩效管理水平</w:t>
      </w:r>
    </w:p>
    <w:p>
      <w:pPr>
        <w:pStyle w:val="33"/>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预算部门应严格按照《关于深化预算绩效管理改革全面推进预算绩效管理的实施意见》（即办发[2020]8号）规定“预算部门要依法履行部门预算编制、预算执行和绩效管理主体责任……”，加强专项资金监管，切实提高实施单位、企业管理水平，保障资金绩效。</w:t>
      </w:r>
    </w:p>
    <w:p>
      <w:pPr>
        <w:pStyle w:val="33"/>
        <w:spacing w:line="570" w:lineRule="exact"/>
        <w:ind w:firstLine="640"/>
        <w:rPr>
          <w:rFonts w:ascii="仿宋_GB2312" w:hAnsi="仿宋" w:eastAsia="仿宋_GB2312" w:cs="Times New Roman"/>
          <w:sz w:val="32"/>
          <w:szCs w:val="32"/>
        </w:rPr>
      </w:pPr>
      <w:r>
        <w:rPr>
          <w:rFonts w:hint="eastAsia" w:ascii="仿宋_GB2312" w:hAnsi="仿宋" w:eastAsia="仿宋_GB2312" w:cs="Times New Roman"/>
          <w:sz w:val="32"/>
          <w:szCs w:val="32"/>
        </w:rPr>
        <w:t>对本次评价发现的问题，区住房和城乡建设局作为项目主管单位，应组织下属单位在生产运营中建立规范的运行机制，切实加强专项资金管理，保障资金使用绩效。</w:t>
      </w:r>
    </w:p>
    <w:p>
      <w:pPr>
        <w:pStyle w:val="33"/>
        <w:spacing w:line="570" w:lineRule="exact"/>
        <w:ind w:firstLine="640"/>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区园林环卫服务中心作为项目责任单位，应加强对</w:t>
      </w:r>
      <w:r>
        <w:rPr>
          <w:rFonts w:hint="eastAsia" w:ascii="仿宋_GB2312" w:hAnsi="仿宋" w:eastAsia="仿宋_GB2312"/>
          <w:sz w:val="32"/>
          <w:szCs w:val="32"/>
        </w:rPr>
        <w:t>西部垃圾场运行及渗滤液处理专项资金管理和审查力度，对专项资金的使用、管理等程序进行确认，并按照《青岛市即墨区预算绩效管理办法》（即财绩效[2020]260号）具体要求，强化绩效意识，提高监管水平，</w:t>
      </w:r>
      <w:r>
        <w:rPr>
          <w:rFonts w:hint="eastAsia" w:ascii="仿宋_GB2312" w:hAnsi="仿宋" w:eastAsia="仿宋_GB2312" w:cs="Times New Roman"/>
          <w:kern w:val="2"/>
          <w:sz w:val="32"/>
          <w:szCs w:val="32"/>
        </w:rPr>
        <w:t>充分发挥财政专项资金效益。</w:t>
      </w:r>
    </w:p>
    <w:p>
      <w:pPr>
        <w:pStyle w:val="33"/>
        <w:spacing w:line="570" w:lineRule="exact"/>
        <w:ind w:firstLine="640"/>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本报告可作为安排、调整专项资金预算的参考依据。</w:t>
      </w:r>
    </w:p>
    <w:sectPr>
      <w:footnotePr>
        <w:numFmt w:val="decimalEnclosedCircleChinese"/>
      </w:footnotePr>
      <w:pgSz w:w="11906" w:h="16838"/>
      <w:pgMar w:top="2098" w:right="1474" w:bottom="1985" w:left="1588" w:header="851" w:footer="1588" w:gutter="0"/>
      <w:pgNumType w:start="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015407"/>
      <w:docPartObj>
        <w:docPartGallery w:val="AutoText"/>
      </w:docPartObj>
    </w:sdtPr>
    <w:sdtContent>
      <w:p>
        <w:pPr>
          <w:pStyle w:val="10"/>
          <w:ind w:firstLine="360"/>
          <w:jc w:val="center"/>
        </w:pPr>
        <w:r>
          <w:fldChar w:fldCharType="begin"/>
        </w:r>
        <w:r>
          <w:instrText xml:space="preserve">PAGE   \* MERGEFORMAT</w:instrText>
        </w:r>
        <w:r>
          <w:fldChar w:fldCharType="separate"/>
        </w:r>
        <w:r>
          <w:rPr>
            <w:lang w:val="zh-CN"/>
          </w:rPr>
          <w:t>8</w:t>
        </w:r>
        <w:r>
          <w:rPr>
            <w:lang w:val="zh-CN"/>
          </w:rPr>
          <w:fldChar w:fldCharType="end"/>
        </w:r>
      </w:p>
    </w:sdtContent>
  </w:sdt>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360"/>
      <w:rPr>
        <w:rStyle w:val="16"/>
      </w:rPr>
    </w:pPr>
    <w:r>
      <w:fldChar w:fldCharType="begin"/>
    </w:r>
    <w:r>
      <w:rPr>
        <w:rStyle w:val="16"/>
      </w:rPr>
      <w:instrText xml:space="preserve">PAGE  </w:instrText>
    </w:r>
    <w:r>
      <w:fldChar w:fldCharType="separate"/>
    </w:r>
    <w:r>
      <w:rPr>
        <w:rStyle w:val="16"/>
      </w:rPr>
      <w:t>II</w:t>
    </w:r>
    <w:r>
      <w:fldChar w:fldCharType="end"/>
    </w:r>
  </w:p>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360"/>
      <w:rPr>
        <w:rStyle w:val="16"/>
      </w:rPr>
    </w:pPr>
    <w:r>
      <w:fldChar w:fldCharType="begin"/>
    </w:r>
    <w:r>
      <w:rPr>
        <w:rStyle w:val="16"/>
      </w:rPr>
      <w:instrText xml:space="preserve">PAGE  </w:instrText>
    </w:r>
    <w:r>
      <w:fldChar w:fldCharType="separate"/>
    </w:r>
    <w:r>
      <w:rPr>
        <w:rStyle w:val="16"/>
      </w:rPr>
      <w:t>I</w:t>
    </w:r>
    <w:r>
      <w:fldChar w:fldCharType="end"/>
    </w:r>
  </w:p>
  <w:p>
    <w:pPr>
      <w:pStyle w:val="10"/>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420"/>
    </w:pPr>
    <w:r>
      <w:rPr>
        <w:rFonts w:hint="eastAsia" w:ascii="楷体" w:hAnsi="楷体" w:eastAsia="楷体"/>
        <w:sz w:val="21"/>
        <w:szCs w:val="21"/>
      </w:rPr>
      <w:t>2019年西部垃圾场运行及渗滤液处理专项资金绩效评价报告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bordersDoNotSurroundHeader w:val="1"/>
  <w:bordersDoNotSurroundFooter w:val="1"/>
  <w:documentProtection w:enforcement="0"/>
  <w:defaultTabStop w:val="720"/>
  <w:drawingGridHorizontalSpacing w:val="142"/>
  <w:drawingGridVerticalSpacing w:val="381"/>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2F76"/>
    <w:rsid w:val="000055CB"/>
    <w:rsid w:val="000114C4"/>
    <w:rsid w:val="000118CB"/>
    <w:rsid w:val="000126EB"/>
    <w:rsid w:val="00016316"/>
    <w:rsid w:val="00024A70"/>
    <w:rsid w:val="00032977"/>
    <w:rsid w:val="00032AC3"/>
    <w:rsid w:val="00033B9C"/>
    <w:rsid w:val="00035E3A"/>
    <w:rsid w:val="00037B1A"/>
    <w:rsid w:val="000429DF"/>
    <w:rsid w:val="00047CE4"/>
    <w:rsid w:val="00050610"/>
    <w:rsid w:val="000549AF"/>
    <w:rsid w:val="00060C1C"/>
    <w:rsid w:val="00061019"/>
    <w:rsid w:val="0006157C"/>
    <w:rsid w:val="00063004"/>
    <w:rsid w:val="00071C62"/>
    <w:rsid w:val="00073F8E"/>
    <w:rsid w:val="00074F41"/>
    <w:rsid w:val="00090390"/>
    <w:rsid w:val="00093431"/>
    <w:rsid w:val="000A3DCE"/>
    <w:rsid w:val="000A4CCD"/>
    <w:rsid w:val="000A4E2A"/>
    <w:rsid w:val="000A6B43"/>
    <w:rsid w:val="000B32E0"/>
    <w:rsid w:val="000C25C0"/>
    <w:rsid w:val="000C3D40"/>
    <w:rsid w:val="000C43BC"/>
    <w:rsid w:val="000C54CB"/>
    <w:rsid w:val="000C6014"/>
    <w:rsid w:val="000D1053"/>
    <w:rsid w:val="000D1F91"/>
    <w:rsid w:val="000D2CC4"/>
    <w:rsid w:val="000D2EBA"/>
    <w:rsid w:val="000D3C51"/>
    <w:rsid w:val="000D4299"/>
    <w:rsid w:val="000D78E6"/>
    <w:rsid w:val="000E341B"/>
    <w:rsid w:val="000E6F16"/>
    <w:rsid w:val="000F0410"/>
    <w:rsid w:val="000F3BE5"/>
    <w:rsid w:val="000F6DF4"/>
    <w:rsid w:val="001043F3"/>
    <w:rsid w:val="001052C1"/>
    <w:rsid w:val="0010683F"/>
    <w:rsid w:val="00114E24"/>
    <w:rsid w:val="00127637"/>
    <w:rsid w:val="001311A4"/>
    <w:rsid w:val="0013142B"/>
    <w:rsid w:val="001354B0"/>
    <w:rsid w:val="00135E13"/>
    <w:rsid w:val="00144393"/>
    <w:rsid w:val="00156916"/>
    <w:rsid w:val="0016131A"/>
    <w:rsid w:val="001625B6"/>
    <w:rsid w:val="0016315B"/>
    <w:rsid w:val="00166C2E"/>
    <w:rsid w:val="00166EC6"/>
    <w:rsid w:val="00170E91"/>
    <w:rsid w:val="00180F0E"/>
    <w:rsid w:val="00182FB5"/>
    <w:rsid w:val="00184307"/>
    <w:rsid w:val="001863D8"/>
    <w:rsid w:val="001A2E12"/>
    <w:rsid w:val="001A3CCB"/>
    <w:rsid w:val="001A6FC4"/>
    <w:rsid w:val="001B2086"/>
    <w:rsid w:val="001C58C6"/>
    <w:rsid w:val="001D141C"/>
    <w:rsid w:val="001D6DA1"/>
    <w:rsid w:val="001E0803"/>
    <w:rsid w:val="001E272A"/>
    <w:rsid w:val="001E79D6"/>
    <w:rsid w:val="001F0C4F"/>
    <w:rsid w:val="001F2B67"/>
    <w:rsid w:val="001F63B3"/>
    <w:rsid w:val="00200C20"/>
    <w:rsid w:val="00200EB1"/>
    <w:rsid w:val="002027C7"/>
    <w:rsid w:val="0020582E"/>
    <w:rsid w:val="00207AAA"/>
    <w:rsid w:val="002156A2"/>
    <w:rsid w:val="002178B6"/>
    <w:rsid w:val="00223B47"/>
    <w:rsid w:val="002269C2"/>
    <w:rsid w:val="002343FB"/>
    <w:rsid w:val="00234B84"/>
    <w:rsid w:val="0023706C"/>
    <w:rsid w:val="00240C96"/>
    <w:rsid w:val="002655EC"/>
    <w:rsid w:val="002708A2"/>
    <w:rsid w:val="00272149"/>
    <w:rsid w:val="00272C87"/>
    <w:rsid w:val="0028099A"/>
    <w:rsid w:val="00291D65"/>
    <w:rsid w:val="002923BC"/>
    <w:rsid w:val="00292DD5"/>
    <w:rsid w:val="00293C16"/>
    <w:rsid w:val="00297A02"/>
    <w:rsid w:val="002A1948"/>
    <w:rsid w:val="002B46B8"/>
    <w:rsid w:val="002B659C"/>
    <w:rsid w:val="002C1707"/>
    <w:rsid w:val="002C5354"/>
    <w:rsid w:val="002C75E4"/>
    <w:rsid w:val="002D0A1D"/>
    <w:rsid w:val="002D4AFA"/>
    <w:rsid w:val="002D6B5F"/>
    <w:rsid w:val="002D7C74"/>
    <w:rsid w:val="002E05D0"/>
    <w:rsid w:val="002E0D63"/>
    <w:rsid w:val="002E4351"/>
    <w:rsid w:val="002F3976"/>
    <w:rsid w:val="00303017"/>
    <w:rsid w:val="003101ED"/>
    <w:rsid w:val="00310925"/>
    <w:rsid w:val="003120D3"/>
    <w:rsid w:val="003154E4"/>
    <w:rsid w:val="00315D11"/>
    <w:rsid w:val="0032043E"/>
    <w:rsid w:val="00323B43"/>
    <w:rsid w:val="003247C3"/>
    <w:rsid w:val="003266ED"/>
    <w:rsid w:val="00327135"/>
    <w:rsid w:val="00332A7D"/>
    <w:rsid w:val="00342A16"/>
    <w:rsid w:val="003435D9"/>
    <w:rsid w:val="00344838"/>
    <w:rsid w:val="00350F02"/>
    <w:rsid w:val="00351486"/>
    <w:rsid w:val="003514EB"/>
    <w:rsid w:val="003553EA"/>
    <w:rsid w:val="00364376"/>
    <w:rsid w:val="00365E29"/>
    <w:rsid w:val="003674AD"/>
    <w:rsid w:val="00367B0E"/>
    <w:rsid w:val="00367F42"/>
    <w:rsid w:val="00390757"/>
    <w:rsid w:val="00390DEA"/>
    <w:rsid w:val="003927E2"/>
    <w:rsid w:val="003934EE"/>
    <w:rsid w:val="003A23EE"/>
    <w:rsid w:val="003A5F30"/>
    <w:rsid w:val="003B120C"/>
    <w:rsid w:val="003B641A"/>
    <w:rsid w:val="003C1925"/>
    <w:rsid w:val="003C364C"/>
    <w:rsid w:val="003C3D82"/>
    <w:rsid w:val="003C4169"/>
    <w:rsid w:val="003C489A"/>
    <w:rsid w:val="003C728D"/>
    <w:rsid w:val="003D37D8"/>
    <w:rsid w:val="003E6536"/>
    <w:rsid w:val="003F2C07"/>
    <w:rsid w:val="003F3061"/>
    <w:rsid w:val="003F3B79"/>
    <w:rsid w:val="003F3CD5"/>
    <w:rsid w:val="003F46D9"/>
    <w:rsid w:val="00401146"/>
    <w:rsid w:val="00405343"/>
    <w:rsid w:val="00423474"/>
    <w:rsid w:val="00425FAE"/>
    <w:rsid w:val="00426133"/>
    <w:rsid w:val="00432246"/>
    <w:rsid w:val="004324F9"/>
    <w:rsid w:val="004358AB"/>
    <w:rsid w:val="004370FF"/>
    <w:rsid w:val="0044138B"/>
    <w:rsid w:val="004420F4"/>
    <w:rsid w:val="0044296B"/>
    <w:rsid w:val="00450F6E"/>
    <w:rsid w:val="00453234"/>
    <w:rsid w:val="00453689"/>
    <w:rsid w:val="00454E7A"/>
    <w:rsid w:val="004670F0"/>
    <w:rsid w:val="004675D7"/>
    <w:rsid w:val="00467A8B"/>
    <w:rsid w:val="004704C8"/>
    <w:rsid w:val="004739D6"/>
    <w:rsid w:val="0047531A"/>
    <w:rsid w:val="00477B94"/>
    <w:rsid w:val="00481602"/>
    <w:rsid w:val="00481FBE"/>
    <w:rsid w:val="00497939"/>
    <w:rsid w:val="004A058D"/>
    <w:rsid w:val="004A080E"/>
    <w:rsid w:val="004A3DDD"/>
    <w:rsid w:val="004A4549"/>
    <w:rsid w:val="004A706E"/>
    <w:rsid w:val="004B516F"/>
    <w:rsid w:val="004B648C"/>
    <w:rsid w:val="004B67A4"/>
    <w:rsid w:val="004B7588"/>
    <w:rsid w:val="004B7D35"/>
    <w:rsid w:val="004C0082"/>
    <w:rsid w:val="004C0AD8"/>
    <w:rsid w:val="004D2695"/>
    <w:rsid w:val="004D300C"/>
    <w:rsid w:val="004E1B13"/>
    <w:rsid w:val="004E25FE"/>
    <w:rsid w:val="004E3D43"/>
    <w:rsid w:val="004E5277"/>
    <w:rsid w:val="004E5E33"/>
    <w:rsid w:val="004F0961"/>
    <w:rsid w:val="004F1227"/>
    <w:rsid w:val="004F564C"/>
    <w:rsid w:val="004F61C2"/>
    <w:rsid w:val="00501F3E"/>
    <w:rsid w:val="00502B52"/>
    <w:rsid w:val="005034F9"/>
    <w:rsid w:val="00506CAD"/>
    <w:rsid w:val="00517268"/>
    <w:rsid w:val="00517A81"/>
    <w:rsid w:val="00520CE3"/>
    <w:rsid w:val="00522FCB"/>
    <w:rsid w:val="0052561D"/>
    <w:rsid w:val="00537934"/>
    <w:rsid w:val="00546759"/>
    <w:rsid w:val="00546E6F"/>
    <w:rsid w:val="005504E5"/>
    <w:rsid w:val="00555105"/>
    <w:rsid w:val="00555414"/>
    <w:rsid w:val="005607B0"/>
    <w:rsid w:val="0056206E"/>
    <w:rsid w:val="00564EFA"/>
    <w:rsid w:val="005712BA"/>
    <w:rsid w:val="0057296A"/>
    <w:rsid w:val="00573F66"/>
    <w:rsid w:val="00583B95"/>
    <w:rsid w:val="00585B66"/>
    <w:rsid w:val="005866A6"/>
    <w:rsid w:val="00592998"/>
    <w:rsid w:val="00596175"/>
    <w:rsid w:val="005977BE"/>
    <w:rsid w:val="005A3B41"/>
    <w:rsid w:val="005A3F0D"/>
    <w:rsid w:val="005B0438"/>
    <w:rsid w:val="005B2866"/>
    <w:rsid w:val="005C05E8"/>
    <w:rsid w:val="005C0CD1"/>
    <w:rsid w:val="005C1AD4"/>
    <w:rsid w:val="005C3EDA"/>
    <w:rsid w:val="005C5872"/>
    <w:rsid w:val="005D0708"/>
    <w:rsid w:val="005D1085"/>
    <w:rsid w:val="005F24D6"/>
    <w:rsid w:val="005F6B93"/>
    <w:rsid w:val="005F7FC2"/>
    <w:rsid w:val="006025DE"/>
    <w:rsid w:val="00606E41"/>
    <w:rsid w:val="00607DEA"/>
    <w:rsid w:val="00611E52"/>
    <w:rsid w:val="00615166"/>
    <w:rsid w:val="006207C5"/>
    <w:rsid w:val="006240FE"/>
    <w:rsid w:val="00637739"/>
    <w:rsid w:val="006412C6"/>
    <w:rsid w:val="006416A9"/>
    <w:rsid w:val="00646852"/>
    <w:rsid w:val="00651803"/>
    <w:rsid w:val="006573A0"/>
    <w:rsid w:val="00663A58"/>
    <w:rsid w:val="0066634B"/>
    <w:rsid w:val="00666A08"/>
    <w:rsid w:val="006719A2"/>
    <w:rsid w:val="00684DD0"/>
    <w:rsid w:val="00686CB1"/>
    <w:rsid w:val="00687314"/>
    <w:rsid w:val="00692FA4"/>
    <w:rsid w:val="006963CC"/>
    <w:rsid w:val="006970E4"/>
    <w:rsid w:val="006A2D00"/>
    <w:rsid w:val="006A2FD0"/>
    <w:rsid w:val="006A4043"/>
    <w:rsid w:val="006B0E76"/>
    <w:rsid w:val="006C4C3E"/>
    <w:rsid w:val="006C6043"/>
    <w:rsid w:val="006F1418"/>
    <w:rsid w:val="006F2D6B"/>
    <w:rsid w:val="006F3098"/>
    <w:rsid w:val="006F4B8F"/>
    <w:rsid w:val="006F6F12"/>
    <w:rsid w:val="00703A04"/>
    <w:rsid w:val="00704CE8"/>
    <w:rsid w:val="0070609E"/>
    <w:rsid w:val="007067DB"/>
    <w:rsid w:val="00710883"/>
    <w:rsid w:val="00710E52"/>
    <w:rsid w:val="00713E6F"/>
    <w:rsid w:val="00720612"/>
    <w:rsid w:val="007226B7"/>
    <w:rsid w:val="00726167"/>
    <w:rsid w:val="00733334"/>
    <w:rsid w:val="00736AE0"/>
    <w:rsid w:val="0074031E"/>
    <w:rsid w:val="00743395"/>
    <w:rsid w:val="00743938"/>
    <w:rsid w:val="00747D57"/>
    <w:rsid w:val="00752014"/>
    <w:rsid w:val="00754B13"/>
    <w:rsid w:val="00761E30"/>
    <w:rsid w:val="00766D53"/>
    <w:rsid w:val="00770ABC"/>
    <w:rsid w:val="00773F59"/>
    <w:rsid w:val="007804A1"/>
    <w:rsid w:val="00794D56"/>
    <w:rsid w:val="007954F5"/>
    <w:rsid w:val="007A0CDF"/>
    <w:rsid w:val="007A0FE1"/>
    <w:rsid w:val="007A376E"/>
    <w:rsid w:val="007A38B7"/>
    <w:rsid w:val="007A3D49"/>
    <w:rsid w:val="007A6120"/>
    <w:rsid w:val="007B2FCF"/>
    <w:rsid w:val="007B4E35"/>
    <w:rsid w:val="007B5508"/>
    <w:rsid w:val="007B5782"/>
    <w:rsid w:val="007B5B92"/>
    <w:rsid w:val="007D1404"/>
    <w:rsid w:val="007D6D27"/>
    <w:rsid w:val="007E214A"/>
    <w:rsid w:val="007E4E70"/>
    <w:rsid w:val="007E606A"/>
    <w:rsid w:val="007E756C"/>
    <w:rsid w:val="007F0B87"/>
    <w:rsid w:val="007F361F"/>
    <w:rsid w:val="007F4129"/>
    <w:rsid w:val="007F650D"/>
    <w:rsid w:val="00800BDA"/>
    <w:rsid w:val="00802378"/>
    <w:rsid w:val="00802835"/>
    <w:rsid w:val="0080501E"/>
    <w:rsid w:val="008157B8"/>
    <w:rsid w:val="008173F4"/>
    <w:rsid w:val="00827CF4"/>
    <w:rsid w:val="00845136"/>
    <w:rsid w:val="00845426"/>
    <w:rsid w:val="00846FF7"/>
    <w:rsid w:val="00847694"/>
    <w:rsid w:val="008477AB"/>
    <w:rsid w:val="00852747"/>
    <w:rsid w:val="00852E0A"/>
    <w:rsid w:val="008572AC"/>
    <w:rsid w:val="00857CF1"/>
    <w:rsid w:val="008603FF"/>
    <w:rsid w:val="00871AC1"/>
    <w:rsid w:val="008740B3"/>
    <w:rsid w:val="00892A82"/>
    <w:rsid w:val="008A07DE"/>
    <w:rsid w:val="008A15E4"/>
    <w:rsid w:val="008B29CF"/>
    <w:rsid w:val="008B58F7"/>
    <w:rsid w:val="008B7726"/>
    <w:rsid w:val="008B7FCF"/>
    <w:rsid w:val="008C0BF9"/>
    <w:rsid w:val="008C72AA"/>
    <w:rsid w:val="008D017B"/>
    <w:rsid w:val="008D1068"/>
    <w:rsid w:val="008D5BF2"/>
    <w:rsid w:val="008D68A9"/>
    <w:rsid w:val="008E3445"/>
    <w:rsid w:val="008E4422"/>
    <w:rsid w:val="008F032A"/>
    <w:rsid w:val="008F3DFD"/>
    <w:rsid w:val="008F424B"/>
    <w:rsid w:val="008F4D3E"/>
    <w:rsid w:val="008F6667"/>
    <w:rsid w:val="00901104"/>
    <w:rsid w:val="009012E0"/>
    <w:rsid w:val="00907646"/>
    <w:rsid w:val="009227F2"/>
    <w:rsid w:val="0093014F"/>
    <w:rsid w:val="00937B20"/>
    <w:rsid w:val="00947B6E"/>
    <w:rsid w:val="0095057E"/>
    <w:rsid w:val="00961665"/>
    <w:rsid w:val="00962000"/>
    <w:rsid w:val="0097140D"/>
    <w:rsid w:val="00976494"/>
    <w:rsid w:val="00983556"/>
    <w:rsid w:val="00984BF4"/>
    <w:rsid w:val="00990B8D"/>
    <w:rsid w:val="00992BC2"/>
    <w:rsid w:val="009931F1"/>
    <w:rsid w:val="00993402"/>
    <w:rsid w:val="009A0DE0"/>
    <w:rsid w:val="009B1660"/>
    <w:rsid w:val="009C108F"/>
    <w:rsid w:val="009C17FD"/>
    <w:rsid w:val="009C33AD"/>
    <w:rsid w:val="009C35A4"/>
    <w:rsid w:val="009C51CF"/>
    <w:rsid w:val="009C5942"/>
    <w:rsid w:val="009C5EEA"/>
    <w:rsid w:val="009C6CFD"/>
    <w:rsid w:val="009C7E9C"/>
    <w:rsid w:val="009D0109"/>
    <w:rsid w:val="009D0B70"/>
    <w:rsid w:val="009D0F96"/>
    <w:rsid w:val="009D346A"/>
    <w:rsid w:val="009D51B8"/>
    <w:rsid w:val="009F2259"/>
    <w:rsid w:val="009F22EE"/>
    <w:rsid w:val="009F4D2B"/>
    <w:rsid w:val="009F50E8"/>
    <w:rsid w:val="00A0082A"/>
    <w:rsid w:val="00A00E8A"/>
    <w:rsid w:val="00A017B0"/>
    <w:rsid w:val="00A05E4E"/>
    <w:rsid w:val="00A07C7E"/>
    <w:rsid w:val="00A12421"/>
    <w:rsid w:val="00A162FD"/>
    <w:rsid w:val="00A16653"/>
    <w:rsid w:val="00A226C4"/>
    <w:rsid w:val="00A2549C"/>
    <w:rsid w:val="00A26EBD"/>
    <w:rsid w:val="00A2713E"/>
    <w:rsid w:val="00A3343B"/>
    <w:rsid w:val="00A33E6F"/>
    <w:rsid w:val="00A34B3F"/>
    <w:rsid w:val="00A41160"/>
    <w:rsid w:val="00A45919"/>
    <w:rsid w:val="00A551FC"/>
    <w:rsid w:val="00A56CDF"/>
    <w:rsid w:val="00A62590"/>
    <w:rsid w:val="00A6707F"/>
    <w:rsid w:val="00A7430B"/>
    <w:rsid w:val="00A84618"/>
    <w:rsid w:val="00A86C2A"/>
    <w:rsid w:val="00A86F75"/>
    <w:rsid w:val="00A87ADD"/>
    <w:rsid w:val="00A92812"/>
    <w:rsid w:val="00A94A04"/>
    <w:rsid w:val="00A95614"/>
    <w:rsid w:val="00A96197"/>
    <w:rsid w:val="00AA590B"/>
    <w:rsid w:val="00AB10BF"/>
    <w:rsid w:val="00AB2F5D"/>
    <w:rsid w:val="00AB6F9B"/>
    <w:rsid w:val="00AC4E57"/>
    <w:rsid w:val="00AD5B31"/>
    <w:rsid w:val="00AD6319"/>
    <w:rsid w:val="00AE2486"/>
    <w:rsid w:val="00AE454D"/>
    <w:rsid w:val="00AE5B3D"/>
    <w:rsid w:val="00AF3ABF"/>
    <w:rsid w:val="00B01CD3"/>
    <w:rsid w:val="00B025E4"/>
    <w:rsid w:val="00B046FD"/>
    <w:rsid w:val="00B06598"/>
    <w:rsid w:val="00B10101"/>
    <w:rsid w:val="00B106A9"/>
    <w:rsid w:val="00B16A1B"/>
    <w:rsid w:val="00B20537"/>
    <w:rsid w:val="00B209E0"/>
    <w:rsid w:val="00B23E37"/>
    <w:rsid w:val="00B31102"/>
    <w:rsid w:val="00B34CE2"/>
    <w:rsid w:val="00B36CEF"/>
    <w:rsid w:val="00B51993"/>
    <w:rsid w:val="00B536BA"/>
    <w:rsid w:val="00B5576A"/>
    <w:rsid w:val="00B56786"/>
    <w:rsid w:val="00B573DF"/>
    <w:rsid w:val="00B654BA"/>
    <w:rsid w:val="00B667C8"/>
    <w:rsid w:val="00B6777F"/>
    <w:rsid w:val="00B80961"/>
    <w:rsid w:val="00B867E4"/>
    <w:rsid w:val="00B90029"/>
    <w:rsid w:val="00B9092E"/>
    <w:rsid w:val="00BA690A"/>
    <w:rsid w:val="00BA6D97"/>
    <w:rsid w:val="00BB162C"/>
    <w:rsid w:val="00BB6532"/>
    <w:rsid w:val="00BC0A67"/>
    <w:rsid w:val="00BC4709"/>
    <w:rsid w:val="00BD1773"/>
    <w:rsid w:val="00BE2A14"/>
    <w:rsid w:val="00BE2D9F"/>
    <w:rsid w:val="00BF2F2D"/>
    <w:rsid w:val="00BF32F6"/>
    <w:rsid w:val="00BF336F"/>
    <w:rsid w:val="00BF399C"/>
    <w:rsid w:val="00BF494D"/>
    <w:rsid w:val="00C05C01"/>
    <w:rsid w:val="00C065F8"/>
    <w:rsid w:val="00C1325E"/>
    <w:rsid w:val="00C140DB"/>
    <w:rsid w:val="00C271A4"/>
    <w:rsid w:val="00C3558B"/>
    <w:rsid w:val="00C47D4A"/>
    <w:rsid w:val="00C53945"/>
    <w:rsid w:val="00C63068"/>
    <w:rsid w:val="00C64245"/>
    <w:rsid w:val="00C64BED"/>
    <w:rsid w:val="00C70B46"/>
    <w:rsid w:val="00C83E1C"/>
    <w:rsid w:val="00C854E7"/>
    <w:rsid w:val="00C93662"/>
    <w:rsid w:val="00CA6556"/>
    <w:rsid w:val="00CA688D"/>
    <w:rsid w:val="00CA6C48"/>
    <w:rsid w:val="00CA7264"/>
    <w:rsid w:val="00CA7778"/>
    <w:rsid w:val="00CB1872"/>
    <w:rsid w:val="00CB6682"/>
    <w:rsid w:val="00CC7A5D"/>
    <w:rsid w:val="00CE3BDB"/>
    <w:rsid w:val="00CE7243"/>
    <w:rsid w:val="00CE7923"/>
    <w:rsid w:val="00CF18C5"/>
    <w:rsid w:val="00CF354E"/>
    <w:rsid w:val="00CF45A2"/>
    <w:rsid w:val="00D0317B"/>
    <w:rsid w:val="00D07A18"/>
    <w:rsid w:val="00D2022F"/>
    <w:rsid w:val="00D210F5"/>
    <w:rsid w:val="00D216AF"/>
    <w:rsid w:val="00D2193A"/>
    <w:rsid w:val="00D31D50"/>
    <w:rsid w:val="00D35610"/>
    <w:rsid w:val="00D4219F"/>
    <w:rsid w:val="00D44B7B"/>
    <w:rsid w:val="00D45614"/>
    <w:rsid w:val="00D45F80"/>
    <w:rsid w:val="00D463E0"/>
    <w:rsid w:val="00D4641C"/>
    <w:rsid w:val="00D5180C"/>
    <w:rsid w:val="00D642ED"/>
    <w:rsid w:val="00D64ECD"/>
    <w:rsid w:val="00D66BF0"/>
    <w:rsid w:val="00D73311"/>
    <w:rsid w:val="00D84AEE"/>
    <w:rsid w:val="00D85FC2"/>
    <w:rsid w:val="00DA5E85"/>
    <w:rsid w:val="00DA7345"/>
    <w:rsid w:val="00DA7FCF"/>
    <w:rsid w:val="00DB203A"/>
    <w:rsid w:val="00DB2083"/>
    <w:rsid w:val="00DB32B9"/>
    <w:rsid w:val="00DB5682"/>
    <w:rsid w:val="00DB6A14"/>
    <w:rsid w:val="00DC2701"/>
    <w:rsid w:val="00DD1368"/>
    <w:rsid w:val="00DD398A"/>
    <w:rsid w:val="00DD723C"/>
    <w:rsid w:val="00DD76A4"/>
    <w:rsid w:val="00DE7192"/>
    <w:rsid w:val="00DE776D"/>
    <w:rsid w:val="00DE7EE7"/>
    <w:rsid w:val="00DF5E48"/>
    <w:rsid w:val="00DF7911"/>
    <w:rsid w:val="00E01B33"/>
    <w:rsid w:val="00E01DBF"/>
    <w:rsid w:val="00E063F4"/>
    <w:rsid w:val="00E11808"/>
    <w:rsid w:val="00E13969"/>
    <w:rsid w:val="00E14E7F"/>
    <w:rsid w:val="00E16E54"/>
    <w:rsid w:val="00E21BDD"/>
    <w:rsid w:val="00E21EFB"/>
    <w:rsid w:val="00E23B99"/>
    <w:rsid w:val="00E34C39"/>
    <w:rsid w:val="00E35952"/>
    <w:rsid w:val="00E41CAC"/>
    <w:rsid w:val="00E42B49"/>
    <w:rsid w:val="00E475AC"/>
    <w:rsid w:val="00E51C2D"/>
    <w:rsid w:val="00E56956"/>
    <w:rsid w:val="00E61925"/>
    <w:rsid w:val="00E66952"/>
    <w:rsid w:val="00E74FFE"/>
    <w:rsid w:val="00E7707B"/>
    <w:rsid w:val="00E809FB"/>
    <w:rsid w:val="00E80CAC"/>
    <w:rsid w:val="00E83181"/>
    <w:rsid w:val="00E84A0F"/>
    <w:rsid w:val="00E85BA5"/>
    <w:rsid w:val="00E90A4A"/>
    <w:rsid w:val="00E912AC"/>
    <w:rsid w:val="00E95841"/>
    <w:rsid w:val="00EA0BFC"/>
    <w:rsid w:val="00EA0FCC"/>
    <w:rsid w:val="00EA3284"/>
    <w:rsid w:val="00EA410E"/>
    <w:rsid w:val="00EA5ABF"/>
    <w:rsid w:val="00EA7508"/>
    <w:rsid w:val="00EB10D7"/>
    <w:rsid w:val="00EB35A2"/>
    <w:rsid w:val="00EB5342"/>
    <w:rsid w:val="00EC6A48"/>
    <w:rsid w:val="00ED08D0"/>
    <w:rsid w:val="00ED6ECF"/>
    <w:rsid w:val="00EE2C8D"/>
    <w:rsid w:val="00EE555D"/>
    <w:rsid w:val="00EF3CE6"/>
    <w:rsid w:val="00EF4052"/>
    <w:rsid w:val="00EF4660"/>
    <w:rsid w:val="00F05605"/>
    <w:rsid w:val="00F11E98"/>
    <w:rsid w:val="00F15DEB"/>
    <w:rsid w:val="00F2196D"/>
    <w:rsid w:val="00F22DEF"/>
    <w:rsid w:val="00F24670"/>
    <w:rsid w:val="00F279DF"/>
    <w:rsid w:val="00F31690"/>
    <w:rsid w:val="00F31BDF"/>
    <w:rsid w:val="00F3584F"/>
    <w:rsid w:val="00F366C7"/>
    <w:rsid w:val="00F40D05"/>
    <w:rsid w:val="00F41483"/>
    <w:rsid w:val="00F42EA1"/>
    <w:rsid w:val="00F4629C"/>
    <w:rsid w:val="00F5029F"/>
    <w:rsid w:val="00F53A73"/>
    <w:rsid w:val="00F56A09"/>
    <w:rsid w:val="00F61BA3"/>
    <w:rsid w:val="00F62E02"/>
    <w:rsid w:val="00F647FC"/>
    <w:rsid w:val="00F67408"/>
    <w:rsid w:val="00F73ACD"/>
    <w:rsid w:val="00F801D8"/>
    <w:rsid w:val="00F83941"/>
    <w:rsid w:val="00F86865"/>
    <w:rsid w:val="00F9055A"/>
    <w:rsid w:val="00F926FB"/>
    <w:rsid w:val="00F93457"/>
    <w:rsid w:val="00F94D65"/>
    <w:rsid w:val="00F9736A"/>
    <w:rsid w:val="00FA640E"/>
    <w:rsid w:val="00FB161B"/>
    <w:rsid w:val="00FB3ECA"/>
    <w:rsid w:val="00FB3F92"/>
    <w:rsid w:val="00FB457B"/>
    <w:rsid w:val="00FB7D37"/>
    <w:rsid w:val="00FC2937"/>
    <w:rsid w:val="00FD43AA"/>
    <w:rsid w:val="00FD7599"/>
    <w:rsid w:val="00FE4B8B"/>
    <w:rsid w:val="00FE7E9F"/>
    <w:rsid w:val="00FF1009"/>
    <w:rsid w:val="00FF4FBA"/>
    <w:rsid w:val="21C859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22"/>
    <w:qFormat/>
    <w:uiPriority w:val="9"/>
    <w:pPr>
      <w:keepNext/>
      <w:keepLines/>
      <w:widowControl w:val="0"/>
      <w:adjustRightInd/>
      <w:snapToGrid/>
      <w:spacing w:after="0"/>
      <w:jc w:val="both"/>
      <w:outlineLvl w:val="0"/>
    </w:pPr>
    <w:rPr>
      <w:rFonts w:ascii="Calibri" w:hAnsi="Calibri" w:eastAsia="黑体" w:cs="Times New Roman"/>
      <w:bCs/>
      <w:kern w:val="44"/>
      <w:sz w:val="28"/>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42"/>
    <w:semiHidden/>
    <w:unhideWhenUsed/>
    <w:uiPriority w:val="99"/>
    <w:rPr>
      <w:b/>
      <w:bCs/>
    </w:rPr>
  </w:style>
  <w:style w:type="paragraph" w:styleId="6">
    <w:name w:val="annotation text"/>
    <w:basedOn w:val="1"/>
    <w:link w:val="41"/>
    <w:semiHidden/>
    <w:unhideWhenUsed/>
    <w:uiPriority w:val="99"/>
  </w:style>
  <w:style w:type="paragraph" w:styleId="7">
    <w:name w:val="toc 3"/>
    <w:basedOn w:val="1"/>
    <w:next w:val="1"/>
    <w:unhideWhenUsed/>
    <w:qFormat/>
    <w:uiPriority w:val="39"/>
    <w:pPr>
      <w:ind w:left="840" w:leftChars="400"/>
    </w:pPr>
  </w:style>
  <w:style w:type="paragraph" w:styleId="8">
    <w:name w:val="endnote text"/>
    <w:basedOn w:val="1"/>
    <w:link w:val="39"/>
    <w:semiHidden/>
    <w:unhideWhenUsed/>
    <w:uiPriority w:val="99"/>
  </w:style>
  <w:style w:type="paragraph" w:styleId="9">
    <w:name w:val="Balloon Text"/>
    <w:basedOn w:val="1"/>
    <w:link w:val="37"/>
    <w:semiHidden/>
    <w:unhideWhenUsed/>
    <w:uiPriority w:val="99"/>
    <w:pPr>
      <w:spacing w:after="0"/>
    </w:pPr>
    <w:rPr>
      <w:sz w:val="18"/>
      <w:szCs w:val="18"/>
    </w:rPr>
  </w:style>
  <w:style w:type="paragraph" w:styleId="10">
    <w:name w:val="footer"/>
    <w:basedOn w:val="1"/>
    <w:link w:val="25"/>
    <w:unhideWhenUsed/>
    <w:uiPriority w:val="99"/>
    <w:pPr>
      <w:widowControl w:val="0"/>
      <w:tabs>
        <w:tab w:val="center" w:pos="4153"/>
        <w:tab w:val="right" w:pos="8306"/>
      </w:tabs>
      <w:adjustRightInd/>
      <w:spacing w:after="0" w:line="240" w:lineRule="atLeast"/>
      <w:ind w:firstLine="200" w:firstLineChars="200"/>
    </w:pPr>
    <w:rPr>
      <w:rFonts w:asciiTheme="minorHAnsi" w:hAnsiTheme="minorHAnsi"/>
      <w:sz w:val="18"/>
      <w:szCs w:val="18"/>
    </w:rPr>
  </w:style>
  <w:style w:type="paragraph" w:styleId="11">
    <w:name w:val="header"/>
    <w:basedOn w:val="1"/>
    <w:link w:val="26"/>
    <w:unhideWhenUsed/>
    <w:uiPriority w:val="99"/>
    <w:pPr>
      <w:widowControl w:val="0"/>
      <w:pBdr>
        <w:bottom w:val="single" w:color="auto" w:sz="6" w:space="1"/>
      </w:pBdr>
      <w:tabs>
        <w:tab w:val="center" w:pos="4153"/>
        <w:tab w:val="right" w:pos="8306"/>
      </w:tabs>
      <w:adjustRightInd/>
      <w:spacing w:after="0" w:line="240" w:lineRule="atLeast"/>
      <w:ind w:firstLine="200" w:firstLineChars="200"/>
      <w:jc w:val="center"/>
    </w:pPr>
    <w:rPr>
      <w:rFonts w:asciiTheme="minorHAnsi" w:hAnsiTheme="minorHAnsi"/>
      <w:sz w:val="18"/>
      <w:szCs w:val="18"/>
    </w:rPr>
  </w:style>
  <w:style w:type="paragraph" w:styleId="12">
    <w:name w:val="toc 1"/>
    <w:basedOn w:val="1"/>
    <w:next w:val="1"/>
    <w:unhideWhenUsed/>
    <w:qFormat/>
    <w:uiPriority w:val="39"/>
  </w:style>
  <w:style w:type="paragraph" w:styleId="13">
    <w:name w:val="footnote text"/>
    <w:basedOn w:val="1"/>
    <w:link w:val="38"/>
    <w:semiHidden/>
    <w:unhideWhenUsed/>
    <w:uiPriority w:val="99"/>
    <w:rPr>
      <w:sz w:val="18"/>
      <w:szCs w:val="18"/>
    </w:rPr>
  </w:style>
  <w:style w:type="paragraph" w:styleId="14">
    <w:name w:val="toc 2"/>
    <w:basedOn w:val="1"/>
    <w:next w:val="1"/>
    <w:unhideWhenUsed/>
    <w:qFormat/>
    <w:uiPriority w:val="39"/>
    <w:pPr>
      <w:ind w:left="420" w:leftChars="200"/>
    </w:pPr>
  </w:style>
  <w:style w:type="character" w:styleId="16">
    <w:name w:val="page number"/>
    <w:unhideWhenUsed/>
    <w:uiPriority w:val="0"/>
    <w:rPr>
      <w:rFonts w:cs="Times New Roman"/>
    </w:rPr>
  </w:style>
  <w:style w:type="character" w:styleId="17">
    <w:name w:val="Hyperlink"/>
    <w:basedOn w:val="15"/>
    <w:unhideWhenUsed/>
    <w:uiPriority w:val="99"/>
    <w:rPr>
      <w:color w:val="0000FF" w:themeColor="hyperlink"/>
      <w:u w:val="single"/>
      <w14:textFill>
        <w14:solidFill>
          <w14:schemeClr w14:val="hlink"/>
        </w14:solidFill>
      </w14:textFill>
    </w:rPr>
  </w:style>
  <w:style w:type="character" w:styleId="18">
    <w:name w:val="annotation reference"/>
    <w:basedOn w:val="15"/>
    <w:semiHidden/>
    <w:unhideWhenUsed/>
    <w:uiPriority w:val="99"/>
    <w:rPr>
      <w:sz w:val="21"/>
      <w:szCs w:val="21"/>
    </w:rPr>
  </w:style>
  <w:style w:type="character" w:styleId="19">
    <w:name w:val="footnote reference"/>
    <w:basedOn w:val="15"/>
    <w:semiHidden/>
    <w:unhideWhenUsed/>
    <w:uiPriority w:val="99"/>
    <w:rPr>
      <w:vertAlign w:val="superscript"/>
    </w:rPr>
  </w:style>
  <w:style w:type="table" w:styleId="21">
    <w:name w:val="Table Grid"/>
    <w:basedOn w:val="20"/>
    <w:qFormat/>
    <w:uiPriority w:val="0"/>
    <w:pPr>
      <w:widowControl w:val="0"/>
      <w:spacing w:after="0" w:line="240" w:lineRule="auto"/>
      <w:jc w:val="both"/>
    </w:pPr>
    <w:rPr>
      <w:rFonts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2">
    <w:name w:val="标题 1 Char"/>
    <w:basedOn w:val="15"/>
    <w:link w:val="2"/>
    <w:uiPriority w:val="9"/>
    <w:rPr>
      <w:rFonts w:ascii="Calibri" w:hAnsi="Calibri" w:eastAsia="黑体" w:cs="Times New Roman"/>
      <w:bCs/>
      <w:kern w:val="44"/>
      <w:sz w:val="28"/>
      <w:szCs w:val="44"/>
    </w:rPr>
  </w:style>
  <w:style w:type="character" w:customStyle="1" w:styleId="23">
    <w:name w:val="标题 2 Char"/>
    <w:basedOn w:val="15"/>
    <w:link w:val="3"/>
    <w:uiPriority w:val="9"/>
    <w:rPr>
      <w:rFonts w:asciiTheme="majorHAnsi" w:hAnsiTheme="majorHAnsi" w:eastAsiaTheme="majorEastAsia" w:cstheme="majorBidi"/>
      <w:b/>
      <w:bCs/>
      <w:sz w:val="32"/>
      <w:szCs w:val="32"/>
    </w:rPr>
  </w:style>
  <w:style w:type="character" w:customStyle="1" w:styleId="24">
    <w:name w:val="标题 3 Char"/>
    <w:basedOn w:val="15"/>
    <w:link w:val="4"/>
    <w:uiPriority w:val="9"/>
    <w:rPr>
      <w:rFonts w:ascii="Tahoma" w:hAnsi="Tahoma"/>
      <w:b/>
      <w:bCs/>
      <w:sz w:val="32"/>
      <w:szCs w:val="32"/>
    </w:rPr>
  </w:style>
  <w:style w:type="character" w:customStyle="1" w:styleId="25">
    <w:name w:val="页脚 Char1"/>
    <w:link w:val="10"/>
    <w:uiPriority w:val="99"/>
    <w:rPr>
      <w:sz w:val="18"/>
      <w:szCs w:val="18"/>
    </w:rPr>
  </w:style>
  <w:style w:type="character" w:customStyle="1" w:styleId="26">
    <w:name w:val="页眉 Char1"/>
    <w:link w:val="11"/>
    <w:uiPriority w:val="99"/>
    <w:rPr>
      <w:sz w:val="18"/>
      <w:szCs w:val="18"/>
    </w:rPr>
  </w:style>
  <w:style w:type="character" w:customStyle="1" w:styleId="27">
    <w:name w:val="页脚 Char"/>
    <w:basedOn w:val="15"/>
    <w:uiPriority w:val="99"/>
    <w:rPr>
      <w:rFonts w:ascii="Tahoma" w:hAnsi="Tahoma"/>
      <w:sz w:val="18"/>
      <w:szCs w:val="18"/>
    </w:rPr>
  </w:style>
  <w:style w:type="character" w:customStyle="1" w:styleId="28">
    <w:name w:val="页眉 Char"/>
    <w:basedOn w:val="15"/>
    <w:semiHidden/>
    <w:uiPriority w:val="99"/>
    <w:rPr>
      <w:rFonts w:ascii="Tahoma" w:hAnsi="Tahoma"/>
      <w:sz w:val="18"/>
      <w:szCs w:val="18"/>
    </w:rPr>
  </w:style>
  <w:style w:type="paragraph" w:customStyle="1" w:styleId="29">
    <w:name w:val="_Style 16"/>
    <w:basedOn w:val="1"/>
    <w:next w:val="1"/>
    <w:unhideWhenUsed/>
    <w:qFormat/>
    <w:uiPriority w:val="39"/>
    <w:pPr>
      <w:widowControl w:val="0"/>
      <w:adjustRightInd/>
      <w:snapToGrid/>
      <w:spacing w:before="120" w:after="120" w:line="560" w:lineRule="exact"/>
      <w:ind w:firstLine="200" w:firstLineChars="200"/>
    </w:pPr>
    <w:rPr>
      <w:rFonts w:ascii="Calibri" w:hAnsi="Calibri" w:eastAsia="仿宋" w:cs="Times New Roman"/>
      <w:b/>
      <w:bCs/>
      <w:caps/>
      <w:kern w:val="2"/>
      <w:sz w:val="20"/>
      <w:szCs w:val="20"/>
    </w:rPr>
  </w:style>
  <w:style w:type="character" w:customStyle="1" w:styleId="30">
    <w:name w:val="列出段落 Char"/>
    <w:link w:val="31"/>
    <w:uiPriority w:val="34"/>
    <w:rPr>
      <w:kern w:val="2"/>
      <w:sz w:val="21"/>
    </w:rPr>
  </w:style>
  <w:style w:type="paragraph" w:customStyle="1" w:styleId="31">
    <w:name w:val="列表段落"/>
    <w:basedOn w:val="1"/>
    <w:link w:val="30"/>
    <w:qFormat/>
    <w:uiPriority w:val="34"/>
    <w:pPr>
      <w:widowControl w:val="0"/>
      <w:adjustRightInd/>
      <w:snapToGrid/>
      <w:spacing w:after="0"/>
      <w:ind w:firstLine="420"/>
      <w:jc w:val="both"/>
    </w:pPr>
    <w:rPr>
      <w:rFonts w:asciiTheme="minorHAnsi" w:hAnsiTheme="minorHAnsi"/>
      <w:kern w:val="2"/>
      <w:sz w:val="21"/>
    </w:rPr>
  </w:style>
  <w:style w:type="character" w:customStyle="1" w:styleId="32">
    <w:name w:val="报告正文 Char"/>
    <w:link w:val="33"/>
    <w:qFormat/>
    <w:uiPriority w:val="0"/>
    <w:rPr>
      <w:rFonts w:ascii="Times New Roman" w:hAnsi="Times New Roman" w:eastAsia="仿宋"/>
      <w:sz w:val="28"/>
      <w:szCs w:val="28"/>
    </w:rPr>
  </w:style>
  <w:style w:type="paragraph" w:customStyle="1" w:styleId="33">
    <w:name w:val="报告正文"/>
    <w:basedOn w:val="1"/>
    <w:link w:val="32"/>
    <w:qFormat/>
    <w:uiPriority w:val="0"/>
    <w:pPr>
      <w:widowControl w:val="0"/>
      <w:adjustRightInd/>
      <w:snapToGrid/>
      <w:spacing w:after="0" w:line="560" w:lineRule="exact"/>
      <w:ind w:firstLine="200" w:firstLineChars="200"/>
      <w:jc w:val="both"/>
    </w:pPr>
    <w:rPr>
      <w:rFonts w:ascii="Times New Roman" w:hAnsi="Times New Roman" w:eastAsia="仿宋"/>
      <w:sz w:val="28"/>
      <w:szCs w:val="28"/>
    </w:rPr>
  </w:style>
  <w:style w:type="character" w:customStyle="1" w:styleId="34">
    <w:name w:val="闻政正文 Char"/>
    <w:link w:val="35"/>
    <w:qFormat/>
    <w:locked/>
    <w:uiPriority w:val="0"/>
    <w:rPr>
      <w:rFonts w:ascii="Times New Roman" w:hAnsi="Times New Roman" w:eastAsia="仿宋_GB2312"/>
      <w:sz w:val="28"/>
    </w:rPr>
  </w:style>
  <w:style w:type="paragraph" w:customStyle="1" w:styleId="35">
    <w:name w:val="闻政正文"/>
    <w:basedOn w:val="1"/>
    <w:link w:val="34"/>
    <w:uiPriority w:val="0"/>
    <w:pPr>
      <w:adjustRightInd/>
      <w:snapToGrid/>
      <w:spacing w:after="0" w:line="500" w:lineRule="exact"/>
      <w:ind w:firstLine="800" w:firstLineChars="200"/>
      <w:jc w:val="both"/>
    </w:pPr>
    <w:rPr>
      <w:rFonts w:ascii="Times New Roman" w:hAnsi="Times New Roman" w:eastAsia="仿宋_GB2312"/>
      <w:sz w:val="28"/>
    </w:rPr>
  </w:style>
  <w:style w:type="paragraph" w:customStyle="1" w:styleId="36">
    <w:name w:val="TOC Heading"/>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b/>
      <w:color w:val="376092" w:themeColor="accent1" w:themeShade="BF"/>
      <w:kern w:val="0"/>
      <w:szCs w:val="28"/>
    </w:rPr>
  </w:style>
  <w:style w:type="character" w:customStyle="1" w:styleId="37">
    <w:name w:val="批注框文本 Char"/>
    <w:basedOn w:val="15"/>
    <w:link w:val="9"/>
    <w:semiHidden/>
    <w:uiPriority w:val="99"/>
    <w:rPr>
      <w:rFonts w:ascii="Tahoma" w:hAnsi="Tahoma"/>
      <w:sz w:val="18"/>
      <w:szCs w:val="18"/>
    </w:rPr>
  </w:style>
  <w:style w:type="character" w:customStyle="1" w:styleId="38">
    <w:name w:val="脚注文本 Char"/>
    <w:basedOn w:val="15"/>
    <w:link w:val="13"/>
    <w:semiHidden/>
    <w:qFormat/>
    <w:uiPriority w:val="99"/>
    <w:rPr>
      <w:rFonts w:ascii="Tahoma" w:hAnsi="Tahoma"/>
      <w:sz w:val="18"/>
      <w:szCs w:val="18"/>
    </w:rPr>
  </w:style>
  <w:style w:type="character" w:customStyle="1" w:styleId="39">
    <w:name w:val="尾注文本 Char"/>
    <w:basedOn w:val="15"/>
    <w:link w:val="8"/>
    <w:semiHidden/>
    <w:uiPriority w:val="99"/>
    <w:rPr>
      <w:rFonts w:ascii="Tahoma" w:hAnsi="Tahoma"/>
    </w:rPr>
  </w:style>
  <w:style w:type="paragraph" w:styleId="40">
    <w:name w:val="List Paragraph"/>
    <w:basedOn w:val="1"/>
    <w:qFormat/>
    <w:uiPriority w:val="34"/>
    <w:pPr>
      <w:ind w:firstLine="420" w:firstLineChars="200"/>
    </w:pPr>
  </w:style>
  <w:style w:type="character" w:customStyle="1" w:styleId="41">
    <w:name w:val="批注文字 Char"/>
    <w:basedOn w:val="15"/>
    <w:link w:val="6"/>
    <w:semiHidden/>
    <w:uiPriority w:val="99"/>
    <w:rPr>
      <w:rFonts w:ascii="Tahoma" w:hAnsi="Tahoma"/>
    </w:rPr>
  </w:style>
  <w:style w:type="character" w:customStyle="1" w:styleId="42">
    <w:name w:val="批注主题 Char"/>
    <w:basedOn w:val="41"/>
    <w:link w:val="5"/>
    <w:semiHidden/>
    <w:uiPriority w:val="99"/>
    <w:rPr>
      <w:rFonts w:ascii="Tahoma" w:hAnsi="Tahoma"/>
      <w:b/>
      <w:bCs/>
    </w:rPr>
  </w:style>
  <w:style w:type="paragraph" w:customStyle="1" w:styleId="43">
    <w:name w:val="_Style 161"/>
    <w:basedOn w:val="1"/>
    <w:next w:val="1"/>
    <w:unhideWhenUsed/>
    <w:qFormat/>
    <w:uiPriority w:val="39"/>
    <w:pPr>
      <w:widowControl w:val="0"/>
      <w:adjustRightInd/>
      <w:snapToGrid/>
      <w:spacing w:before="120" w:after="120" w:line="560" w:lineRule="exact"/>
      <w:ind w:firstLine="200" w:firstLineChars="200"/>
    </w:pPr>
    <w:rPr>
      <w:rFonts w:ascii="Calibri" w:hAnsi="Calibri" w:eastAsia="仿宋" w:cs="Times New Roman"/>
      <w:b/>
      <w:bCs/>
      <w:caps/>
      <w:kern w:val="2"/>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31BC0B-296A-4B6D-AE69-F65453774F20}">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12</Pages>
  <Words>1095</Words>
  <Characters>6243</Characters>
  <Lines>52</Lines>
  <Paragraphs>14</Paragraphs>
  <TotalTime>19</TotalTime>
  <ScaleCrop>false</ScaleCrop>
  <LinksUpToDate>false</LinksUpToDate>
  <CharactersWithSpaces>7324</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2020-12-02T02:03:00Z</dcterms:created>
  <dc:creator>Administrator</dc:creator>
  <cp:lastModifiedBy>Administrator</cp:lastModifiedBy>
  <cp:lastPrinted>2020-11-27T13:32:00Z</cp:lastPrinted>
  <dcterms:modified xsi:type="dcterms:W3CDTF">2020-12-04T02:55:49Z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