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spacing w:before="360" w:after="240"/>
        <w:ind w:firstLine="0" w:firstLineChars="0"/>
        <w:jc w:val="both"/>
        <w:rPr>
          <w:rFonts w:hint="eastAsia" w:ascii="黑体" w:hAnsi="黑体" w:eastAsia="黑体"/>
          <w:b w:val="0"/>
          <w:color w:val="000000"/>
          <w:sz w:val="44"/>
          <w:szCs w:val="44"/>
        </w:rPr>
      </w:pPr>
    </w:p>
    <w:p>
      <w:pPr>
        <w:spacing w:line="560" w:lineRule="exact"/>
        <w:jc w:val="both"/>
        <w:rPr>
          <w:rFonts w:ascii="黑体" w:hAnsi="黑体" w:eastAsia="黑体" w:cs="Times New Roman"/>
          <w:bCs/>
          <w:caps/>
          <w:color w:val="000000"/>
          <w:kern w:val="2"/>
          <w:sz w:val="44"/>
          <w:szCs w:val="44"/>
        </w:rPr>
      </w:pPr>
    </w:p>
    <w:p>
      <w:pPr>
        <w:spacing w:line="560" w:lineRule="exact"/>
        <w:jc w:val="both"/>
      </w:pPr>
    </w:p>
    <w:p>
      <w:pPr>
        <w:pStyle w:val="44"/>
        <w:spacing w:before="360" w:after="240" w:line="570" w:lineRule="exact"/>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2019年灵山垃圾场运行及渗滤液处理</w:t>
      </w:r>
    </w:p>
    <w:p>
      <w:pPr>
        <w:pStyle w:val="44"/>
        <w:spacing w:before="360" w:after="240" w:line="570" w:lineRule="exact"/>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专项资金</w:t>
      </w:r>
      <w:r>
        <w:rPr>
          <w:rFonts w:ascii="黑体" w:hAnsi="黑体" w:eastAsia="黑体"/>
          <w:b w:val="0"/>
          <w:color w:val="000000"/>
          <w:sz w:val="44"/>
          <w:szCs w:val="44"/>
        </w:rPr>
        <w:t>绩效评价</w:t>
      </w:r>
      <w:r>
        <w:rPr>
          <w:rFonts w:hint="eastAsia" w:ascii="黑体" w:hAnsi="黑体" w:eastAsia="黑体"/>
          <w:b w:val="0"/>
          <w:color w:val="000000"/>
          <w:sz w:val="44"/>
          <w:szCs w:val="44"/>
        </w:rPr>
        <w:t>报告</w:t>
      </w: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60" w:lineRule="exact"/>
        <w:jc w:val="both"/>
        <w:rPr>
          <w:rFonts w:ascii="黑体" w:hAnsi="黑体" w:eastAsia="黑体"/>
          <w:sz w:val="44"/>
          <w:szCs w:val="28"/>
        </w:rPr>
      </w:pPr>
    </w:p>
    <w:p>
      <w:pPr>
        <w:spacing w:line="570" w:lineRule="exact"/>
        <w:ind w:firstLine="800" w:firstLineChars="250"/>
        <w:rPr>
          <w:rFonts w:ascii="黑体" w:hAnsi="黑体" w:eastAsia="黑体"/>
          <w:sz w:val="32"/>
          <w:szCs w:val="32"/>
        </w:rPr>
      </w:pPr>
      <w:r>
        <w:rPr>
          <w:rFonts w:hint="eastAsia" w:ascii="黑体" w:hAnsi="黑体" w:eastAsia="黑体"/>
          <w:sz w:val="32"/>
          <w:szCs w:val="32"/>
        </w:rPr>
        <w:t>项目主管部门：青岛市即墨区住房和城乡建设局</w:t>
      </w:r>
    </w:p>
    <w:p>
      <w:pPr>
        <w:spacing w:line="570" w:lineRule="exact"/>
        <w:ind w:firstLine="800" w:firstLineChars="250"/>
        <w:rPr>
          <w:rFonts w:ascii="黑体" w:hAnsi="黑体" w:eastAsia="黑体"/>
          <w:sz w:val="32"/>
          <w:szCs w:val="32"/>
        </w:rPr>
      </w:pPr>
      <w:bookmarkStart w:id="0" w:name="_Hlk45779781"/>
      <w:r>
        <w:rPr>
          <w:rFonts w:hint="eastAsia" w:ascii="黑体" w:hAnsi="黑体" w:eastAsia="黑体"/>
          <w:sz w:val="32"/>
          <w:szCs w:val="32"/>
        </w:rPr>
        <w:t>项目承担单位</w:t>
      </w:r>
      <w:r>
        <w:rPr>
          <w:rFonts w:ascii="黑体" w:hAnsi="黑体" w:eastAsia="黑体"/>
          <w:sz w:val="32"/>
          <w:szCs w:val="32"/>
        </w:rPr>
        <w:t>：</w:t>
      </w:r>
      <w:bookmarkStart w:id="1" w:name="_Hlk46685963"/>
      <w:r>
        <w:rPr>
          <w:rFonts w:hint="eastAsia" w:ascii="黑体" w:hAnsi="黑体" w:eastAsia="黑体"/>
          <w:sz w:val="32"/>
          <w:szCs w:val="32"/>
        </w:rPr>
        <w:t>青岛市即墨区园林环卫服务中心</w:t>
      </w:r>
      <w:bookmarkEnd w:id="1"/>
    </w:p>
    <w:bookmarkEnd w:id="0"/>
    <w:p>
      <w:pPr>
        <w:spacing w:line="570" w:lineRule="exact"/>
        <w:ind w:firstLine="800" w:firstLineChars="250"/>
        <w:rPr>
          <w:rFonts w:ascii="黑体" w:hAnsi="黑体" w:eastAsia="黑体"/>
          <w:sz w:val="32"/>
          <w:szCs w:val="32"/>
        </w:rPr>
      </w:pPr>
      <w:bookmarkStart w:id="2" w:name="_Hlk45779787"/>
      <w:r>
        <w:rPr>
          <w:rFonts w:hint="eastAsia" w:ascii="黑体" w:hAnsi="黑体" w:eastAsia="黑体"/>
          <w:sz w:val="32"/>
          <w:szCs w:val="32"/>
        </w:rPr>
        <w:t>委 托 单 位</w:t>
      </w:r>
      <w:r>
        <w:rPr>
          <w:rFonts w:ascii="黑体" w:hAnsi="黑体" w:eastAsia="黑体"/>
          <w:sz w:val="32"/>
          <w:szCs w:val="32"/>
        </w:rPr>
        <w:t>：</w:t>
      </w:r>
      <w:r>
        <w:rPr>
          <w:rFonts w:hint="eastAsia" w:ascii="黑体" w:hAnsi="黑体" w:eastAsia="黑体"/>
          <w:sz w:val="32"/>
          <w:szCs w:val="32"/>
        </w:rPr>
        <w:t>青岛市即墨区财政局</w:t>
      </w:r>
    </w:p>
    <w:p>
      <w:pPr>
        <w:spacing w:line="570" w:lineRule="exact"/>
        <w:ind w:firstLine="800" w:firstLineChars="250"/>
        <w:rPr>
          <w:rFonts w:ascii="黑体" w:hAnsi="黑体" w:eastAsia="黑体"/>
          <w:sz w:val="32"/>
          <w:szCs w:val="32"/>
        </w:rPr>
      </w:pPr>
      <w:r>
        <w:rPr>
          <w:rFonts w:hint="eastAsia" w:ascii="黑体" w:hAnsi="黑体" w:eastAsia="黑体"/>
          <w:sz w:val="32"/>
          <w:szCs w:val="32"/>
        </w:rPr>
        <w:t>评 价 机 构：青岛同盛建设项目管理有限公司</w:t>
      </w:r>
    </w:p>
    <w:bookmarkEnd w:id="2"/>
    <w:p>
      <w:pPr>
        <w:spacing w:line="560" w:lineRule="exact"/>
        <w:jc w:val="both"/>
        <w:rPr>
          <w:rFonts w:ascii="黑体" w:hAnsi="黑体" w:eastAsia="黑体"/>
          <w:sz w:val="32"/>
          <w:szCs w:val="32"/>
        </w:rPr>
      </w:pPr>
    </w:p>
    <w:p>
      <w:pPr>
        <w:spacing w:line="560" w:lineRule="exact"/>
        <w:jc w:val="both"/>
        <w:rPr>
          <w:rFonts w:ascii="黑体" w:hAnsi="黑体" w:eastAsia="黑体"/>
          <w:sz w:val="32"/>
          <w:szCs w:val="32"/>
        </w:rPr>
      </w:pPr>
    </w:p>
    <w:p>
      <w:pPr>
        <w:spacing w:line="560" w:lineRule="exact"/>
        <w:ind w:firstLine="2880" w:firstLineChars="900"/>
        <w:rPr>
          <w:rFonts w:ascii="黑体" w:hAnsi="黑体"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upperRoman" w:start="1"/>
          <w:cols w:space="720" w:num="1"/>
          <w:docGrid w:type="lines" w:linePitch="381" w:charSpace="0"/>
        </w:sectPr>
      </w:pPr>
      <w:r>
        <w:rPr>
          <w:rFonts w:hint="eastAsia" w:ascii="黑体" w:hAnsi="黑体" w:eastAsia="黑体"/>
          <w:sz w:val="32"/>
          <w:szCs w:val="32"/>
        </w:rPr>
        <w:t>二〇二〇年十一月</w:t>
      </w:r>
    </w:p>
    <w:p>
      <w:pPr>
        <w:pStyle w:val="2"/>
        <w:jc w:val="center"/>
        <w:rPr>
          <w:rFonts w:ascii="方正小标宋简体" w:eastAsia="方正小标宋简体" w:hAnsiTheme="majorEastAsia"/>
          <w:sz w:val="44"/>
        </w:rPr>
      </w:pPr>
      <w:bookmarkStart w:id="3" w:name="_Toc57750538"/>
      <w:bookmarkStart w:id="7" w:name="_GoBack"/>
      <w:bookmarkEnd w:id="7"/>
      <w:r>
        <w:rPr>
          <w:rFonts w:hint="eastAsia" w:ascii="方正小标宋简体" w:eastAsia="方正小标宋简体" w:hAnsiTheme="majorEastAsia"/>
          <w:sz w:val="44"/>
        </w:rPr>
        <w:t>摘要</w:t>
      </w:r>
      <w:bookmarkEnd w:id="3"/>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为贯彻落实《中共中央 国务院关于全面实施预算绩效管理的意见》（中发[2018]34号）精神，根据《中华人民共和国预算法》、</w:t>
      </w:r>
      <w:bookmarkStart w:id="4" w:name="_Hlk45782492"/>
      <w:r>
        <w:rPr>
          <w:rFonts w:hint="eastAsia" w:ascii="仿宋_GB2312" w:hAnsi="仿宋" w:eastAsia="仿宋_GB2312" w:cs="Times New Roman"/>
          <w:sz w:val="32"/>
          <w:szCs w:val="32"/>
        </w:rPr>
        <w:t>《青岛市预算绩效管理条例》、</w:t>
      </w:r>
      <w:bookmarkStart w:id="5" w:name="sendSubject"/>
      <w:r>
        <w:rPr>
          <w:rFonts w:hint="eastAsia" w:ascii="仿宋_GB2312" w:hAnsi="仿宋" w:eastAsia="仿宋_GB2312" w:cs="Times New Roman"/>
          <w:sz w:val="32"/>
          <w:szCs w:val="32"/>
        </w:rPr>
        <w:t>《青岛市财政支出绩效评价管理办法》</w:t>
      </w:r>
      <w:bookmarkEnd w:id="5"/>
      <w:r>
        <w:rPr>
          <w:rFonts w:hint="eastAsia" w:ascii="仿宋_GB2312" w:hAnsi="仿宋" w:eastAsia="仿宋_GB2312" w:cs="Times New Roman"/>
          <w:sz w:val="32"/>
          <w:szCs w:val="32"/>
        </w:rPr>
        <w:t>等规定</w:t>
      </w:r>
      <w:bookmarkEnd w:id="4"/>
      <w:r>
        <w:rPr>
          <w:rFonts w:hint="eastAsia" w:ascii="仿宋_GB2312" w:hAnsi="仿宋" w:eastAsia="仿宋_GB2312" w:cs="Times New Roman"/>
          <w:sz w:val="32"/>
          <w:szCs w:val="32"/>
        </w:rPr>
        <w:t>，我机构接受青岛市即墨区财政局的委托，对青岛市即墨区灵山垃圾场管理运行及渗滤液处理专项资金开展绩效评价。</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即墨区灵山垃圾处理场位于即墨区灵山镇卫东村北（东经120.459624°，北纬36.559431°）。该项目场区内分一二三期三个区域，其中一期生活垃圾卫生填埋区已于2013年12月封场；二三期为填埋区预留地，目前无作业区域。本项目2019年安排预算资金200万元，主要对垃圾产生的渗滤液进行处理，定期对污水车间设施进行维修维护并检测化验污水处理效果；渗滤液处理专用药物（如除臭剂OPM、纯碱、葡萄糖等）按照政府采购相关规定组织实施。</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灵山垃圾场管理运行及渗滤液处理专项资金作为区级专项资金的延续项目，项目主管部门为青岛市即墨区住房和城乡建设局（原即墨市城建局，下同）。专项资金承担单位为青岛市即墨区园林环卫服务中心（原即墨市园林环卫管理处，下同），项目具体实施运营单位为即墨市环卫中心（即墨区环卫中心，下同）。</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即墨区住房和城乡建设局为实现政企分开，加强城乡环卫管理工作，于2016年初通过《关于将西部、灵山垃圾场以及七座镇级压缩转运站和环卫智能管理平台一并移交市环卫中心管理的会议纪要》（2016年1月19日），“…经研究同意，将西部、灵山两处垃圾场日常管理及七座镇级生活垃圾压缩转运站和环卫智能化管理平台的日常运营管理一并移交市环卫中心…”自2016年1月1日起，原垃圾场企业在册人员劳动关系转入即墨市环卫中心并纳入日常管理，区园林环卫服务中心与即墨市环卫中心签订服务委托管理协议，由即墨区园林环卫服务中心定期按时拨付专项经费，区环卫中心使用专项资金并接受区财政、审计部门监督检查。</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为保障我区生活垃圾安全处理的需要，满足《生活垃圾填埋场污染控制标准》GJ16889-2008的要求，按照生活垃圾场管理规定和灵山垃圾场的实际情况，区园林环卫服务中心将本项目编入2019年部门预算，根据《关于批复2019年区级部门预算的通知》（即财预[2019]10号），将2019年度专项资金批复给青岛市即墨区园林环卫服务中心，按照“批复给谁、谁负责”的原则办理。</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kern w:val="2"/>
          <w:sz w:val="32"/>
          <w:szCs w:val="32"/>
        </w:rPr>
        <w:t>即墨区园林环卫服务中心委托</w:t>
      </w:r>
      <w:r>
        <w:rPr>
          <w:rFonts w:hint="eastAsia" w:ascii="仿宋_GB2312" w:hAnsi="仿宋" w:eastAsia="仿宋_GB2312" w:cs="Times New Roman"/>
          <w:sz w:val="32"/>
          <w:szCs w:val="32"/>
        </w:rPr>
        <w:t>即墨市环卫中心，按照《生活垃圾填埋场污染控制标准》GJ16889-2008的要求，对灵山垃圾场的运行日常规范管理及产生的渗滤液进行处理，渗滤液处理率达到100%。</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2019年灵山垃圾场管理运行及渗滤液处理专项资金实际拨付200万元，预算执行率为99.41%。</w:t>
      </w:r>
    </w:p>
    <w:p>
      <w:pPr>
        <w:pStyle w:val="34"/>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青岛市即墨区财政局</w:t>
      </w:r>
      <w:r>
        <w:rPr>
          <w:rFonts w:hint="eastAsia" w:ascii="仿宋_GB2312" w:hAnsi="仿宋" w:eastAsia="仿宋_GB2312"/>
          <w:sz w:val="32"/>
          <w:szCs w:val="32"/>
        </w:rPr>
        <w:t>于2020年8月4日</w:t>
      </w:r>
      <w:r>
        <w:rPr>
          <w:rFonts w:hint="eastAsia" w:ascii="仿宋_GB2312" w:hAnsi="仿宋" w:eastAsia="仿宋_GB2312"/>
          <w:kern w:val="2"/>
          <w:sz w:val="32"/>
          <w:szCs w:val="32"/>
        </w:rPr>
        <w:t>印发</w:t>
      </w:r>
      <w:r>
        <w:rPr>
          <w:rFonts w:hint="eastAsia" w:ascii="仿宋_GB2312" w:hAnsi="仿宋" w:eastAsia="仿宋_GB2312" w:cs="Times New Roman"/>
          <w:kern w:val="2"/>
          <w:sz w:val="32"/>
          <w:szCs w:val="32"/>
        </w:rPr>
        <w:t>《</w:t>
      </w:r>
      <w:r>
        <w:rPr>
          <w:rFonts w:hint="eastAsia" w:ascii="仿宋_GB2312" w:hAnsi="仿宋" w:eastAsia="仿宋_GB2312"/>
          <w:sz w:val="32"/>
          <w:szCs w:val="32"/>
        </w:rPr>
        <w:t>关于组织开展</w:t>
      </w:r>
      <w:bookmarkStart w:id="6" w:name="_Hlk47777522"/>
      <w:r>
        <w:rPr>
          <w:rFonts w:hint="eastAsia" w:ascii="仿宋_GB2312" w:hAnsi="仿宋" w:eastAsia="仿宋_GB2312"/>
          <w:sz w:val="32"/>
          <w:szCs w:val="32"/>
        </w:rPr>
        <w:t>2019年灵山、西部垃圾场运行及渗滤液处理专项资金</w:t>
      </w:r>
      <w:bookmarkEnd w:id="6"/>
      <w:r>
        <w:rPr>
          <w:rFonts w:hint="eastAsia" w:ascii="仿宋_GB2312" w:hAnsi="仿宋" w:eastAsia="仿宋_GB2312"/>
          <w:sz w:val="32"/>
          <w:szCs w:val="32"/>
        </w:rPr>
        <w:t>绩效评价工作的通知》（即财绩效函[2020]17号）</w:t>
      </w:r>
      <w:r>
        <w:rPr>
          <w:rFonts w:hint="eastAsia" w:ascii="仿宋_GB2312" w:hAnsi="仿宋" w:eastAsia="仿宋_GB2312" w:cs="Times New Roman"/>
          <w:kern w:val="2"/>
          <w:sz w:val="32"/>
          <w:szCs w:val="32"/>
        </w:rPr>
        <w:t>，评价机构成立了</w:t>
      </w:r>
      <w:r>
        <w:rPr>
          <w:rFonts w:hint="eastAsia" w:ascii="仿宋_GB2312" w:hAnsi="仿宋" w:eastAsia="仿宋_GB2312"/>
          <w:kern w:val="2"/>
          <w:sz w:val="32"/>
          <w:szCs w:val="32"/>
        </w:rPr>
        <w:t>2019年</w:t>
      </w:r>
      <w:r>
        <w:rPr>
          <w:rFonts w:hint="eastAsia" w:ascii="仿宋_GB2312" w:hAnsi="仿宋" w:eastAsia="仿宋_GB2312"/>
          <w:sz w:val="32"/>
          <w:szCs w:val="32"/>
        </w:rPr>
        <w:t>灵山垃圾场运行及渗滤液处理专项资金</w:t>
      </w:r>
      <w:r>
        <w:rPr>
          <w:rFonts w:hint="eastAsia" w:ascii="仿宋_GB2312" w:hAnsi="仿宋" w:eastAsia="仿宋_GB2312" w:cs="Times New Roman"/>
          <w:kern w:val="2"/>
          <w:sz w:val="32"/>
          <w:szCs w:val="32"/>
        </w:rPr>
        <w:t>绩效评价工作小组。评价小组依据财政部发布的绩效评价基本指标评价体系及评分标准，制定了《绩效评价工作方案》。根据评价方案，通过对基础数据填报、现场查看、实地调研、问卷调查获取的数据进行整理和分析，评价小组进行了独立、客观的评价。</w:t>
      </w:r>
    </w:p>
    <w:p>
      <w:pPr>
        <w:pStyle w:val="34"/>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本次评价的目的在于全面、真实、客观地反映</w:t>
      </w:r>
      <w:r>
        <w:rPr>
          <w:rFonts w:hint="eastAsia" w:ascii="仿宋_GB2312" w:hAnsi="仿宋" w:eastAsia="仿宋_GB2312"/>
          <w:kern w:val="2"/>
          <w:sz w:val="32"/>
          <w:szCs w:val="32"/>
        </w:rPr>
        <w:t>2019年</w:t>
      </w:r>
      <w:r>
        <w:rPr>
          <w:rFonts w:hint="eastAsia" w:ascii="仿宋_GB2312" w:hAnsi="仿宋" w:eastAsia="仿宋_GB2312"/>
          <w:sz w:val="32"/>
          <w:szCs w:val="32"/>
        </w:rPr>
        <w:t>灵山垃圾场运行及渗滤液处理专项资金</w:t>
      </w:r>
      <w:r>
        <w:rPr>
          <w:rFonts w:hint="eastAsia" w:ascii="仿宋_GB2312" w:hAnsi="仿宋" w:eastAsia="仿宋_GB2312" w:cs="Times New Roman"/>
          <w:kern w:val="2"/>
          <w:sz w:val="32"/>
          <w:szCs w:val="32"/>
        </w:rPr>
        <w:t>使用和绩效状况，总结资金使用情况和管理经验以及不足之处，积极探索可行、有效的解决方案和项目管理改进建议。为了使得本项目量化得分保持整体性与完整性，采取将灵山</w:t>
      </w:r>
      <w:r>
        <w:rPr>
          <w:rFonts w:hint="eastAsia" w:ascii="仿宋_GB2312" w:hAnsi="仿宋" w:eastAsia="仿宋_GB2312"/>
          <w:kern w:val="2"/>
          <w:sz w:val="32"/>
          <w:szCs w:val="32"/>
        </w:rPr>
        <w:t xml:space="preserve">垃圾处理场2019 </w:t>
      </w:r>
      <w:r>
        <w:rPr>
          <w:rFonts w:hint="eastAsia" w:ascii="仿宋_GB2312" w:hAnsi="仿宋" w:eastAsia="仿宋_GB2312" w:cs="Times New Roman"/>
          <w:kern w:val="2"/>
          <w:sz w:val="32"/>
          <w:szCs w:val="32"/>
        </w:rPr>
        <w:t>年</w:t>
      </w:r>
      <w:r>
        <w:rPr>
          <w:rFonts w:hint="eastAsia" w:ascii="仿宋_GB2312" w:hAnsi="仿宋" w:eastAsia="仿宋_GB2312"/>
          <w:kern w:val="2"/>
          <w:sz w:val="32"/>
          <w:szCs w:val="32"/>
        </w:rPr>
        <w:t>专项资金使用及项目运营记录资料逐一进行数据收集和分析的方法，根据指标体系结合项目实际情况对被评价单位项目进行打分。</w:t>
      </w:r>
    </w:p>
    <w:p>
      <w:pPr>
        <w:pStyle w:val="34"/>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经评价，</w:t>
      </w:r>
      <w:r>
        <w:rPr>
          <w:rFonts w:hint="eastAsia" w:ascii="仿宋_GB2312" w:hAnsi="仿宋" w:eastAsia="仿宋_GB2312"/>
          <w:kern w:val="2"/>
          <w:sz w:val="32"/>
          <w:szCs w:val="32"/>
        </w:rPr>
        <w:t>2019</w:t>
      </w:r>
      <w:r>
        <w:rPr>
          <w:rFonts w:hint="eastAsia" w:ascii="仿宋_GB2312" w:hAnsi="仿宋" w:eastAsia="仿宋_GB2312" w:cs="Times New Roman"/>
          <w:kern w:val="2"/>
          <w:sz w:val="32"/>
          <w:szCs w:val="32"/>
        </w:rPr>
        <w:t>年</w:t>
      </w:r>
      <w:r>
        <w:rPr>
          <w:rFonts w:hint="eastAsia" w:ascii="仿宋_GB2312" w:hAnsi="仿宋" w:eastAsia="仿宋_GB2312"/>
          <w:sz w:val="32"/>
          <w:szCs w:val="32"/>
        </w:rPr>
        <w:t>灵山垃圾场运行及渗滤液处理专项资金</w:t>
      </w:r>
      <w:r>
        <w:rPr>
          <w:rFonts w:hint="eastAsia" w:ascii="仿宋_GB2312" w:hAnsi="仿宋" w:eastAsia="仿宋_GB2312" w:cs="Times New Roman"/>
          <w:kern w:val="2"/>
          <w:sz w:val="32"/>
          <w:szCs w:val="32"/>
        </w:rPr>
        <w:t>绩效评价整体评分为：</w:t>
      </w:r>
      <w:r>
        <w:rPr>
          <w:rFonts w:hint="eastAsia" w:ascii="仿宋_GB2312" w:hAnsi="仿宋" w:eastAsia="仿宋_GB2312"/>
          <w:kern w:val="2"/>
          <w:sz w:val="32"/>
          <w:szCs w:val="32"/>
        </w:rPr>
        <w:t>77</w:t>
      </w:r>
      <w:r>
        <w:rPr>
          <w:rFonts w:hint="eastAsia" w:ascii="仿宋_GB2312" w:hAnsi="仿宋" w:eastAsia="仿宋_GB2312" w:cs="Times New Roman"/>
          <w:kern w:val="2"/>
          <w:sz w:val="32"/>
          <w:szCs w:val="32"/>
        </w:rPr>
        <w:t>分，评价结论为“中”。该项目资金使用基本达到设定的绩效目标，但评价中也发现一些问题，需在今后的工作中予以调整和完善。</w:t>
      </w:r>
    </w:p>
    <w:p>
      <w:pPr>
        <w:pStyle w:val="34"/>
        <w:spacing w:line="570" w:lineRule="exact"/>
        <w:ind w:firstLine="640"/>
        <w:rPr>
          <w:rFonts w:ascii="仿宋_GB2312" w:hAnsi="仿宋" w:eastAsia="仿宋_GB2312" w:cs="Times New Roman"/>
          <w:kern w:val="2"/>
          <w:sz w:val="32"/>
          <w:szCs w:val="32"/>
        </w:rPr>
      </w:pPr>
    </w:p>
    <w:p>
      <w:pPr>
        <w:pStyle w:val="2"/>
        <w:spacing w:line="570" w:lineRule="exact"/>
        <w:ind w:firstLine="640" w:firstLineChars="200"/>
        <w:rPr>
          <w:rFonts w:ascii="黑体" w:hAnsi="黑体"/>
          <w:sz w:val="32"/>
          <w:szCs w:val="32"/>
        </w:rPr>
      </w:pPr>
      <w:r>
        <w:rPr>
          <w:rFonts w:hint="eastAsia" w:ascii="黑体" w:hAnsi="黑体"/>
          <w:sz w:val="32"/>
          <w:szCs w:val="32"/>
        </w:rPr>
        <w:t>一、本项目主要</w:t>
      </w:r>
      <w:r>
        <w:rPr>
          <w:rFonts w:ascii="黑体" w:hAnsi="黑体"/>
          <w:sz w:val="32"/>
          <w:szCs w:val="32"/>
        </w:rPr>
        <w:t>绩效</w:t>
      </w:r>
    </w:p>
    <w:p>
      <w:pPr>
        <w:pStyle w:val="3"/>
        <w:keepNext w:val="0"/>
        <w:keepLines w:val="0"/>
        <w:widowControl w:val="0"/>
        <w:kinsoku w:val="0"/>
        <w:overflowPunct w:val="0"/>
        <w:autoSpaceDE w:val="0"/>
        <w:autoSpaceDN w:val="0"/>
        <w:adjustRightInd/>
        <w:snapToGrid/>
        <w:spacing w:before="0" w:after="0" w:line="570" w:lineRule="exact"/>
        <w:ind w:firstLine="640" w:firstLineChars="200"/>
        <w:rPr>
          <w:rFonts w:ascii="楷体_GB2312" w:hAnsi="仿宋" w:eastAsia="楷体_GB2312" w:cs="Times New Roman"/>
          <w:b w:val="0"/>
          <w:bCs w:val="0"/>
        </w:rPr>
      </w:pPr>
      <w:r>
        <w:rPr>
          <w:rFonts w:hint="eastAsia" w:ascii="楷体_GB2312" w:hAnsi="仿宋" w:eastAsia="楷体_GB2312" w:cs="Times New Roman"/>
          <w:b w:val="0"/>
          <w:bCs w:val="0"/>
        </w:rPr>
        <w:t>（一）专项资金设置对促进公共事业发展</w:t>
      </w:r>
      <w:r>
        <w:rPr>
          <w:rFonts w:ascii="楷体_GB2312" w:hAnsi="仿宋" w:eastAsia="楷体_GB2312" w:cs="Times New Roman"/>
          <w:b w:val="0"/>
          <w:bCs w:val="0"/>
        </w:rPr>
        <w:t>、</w:t>
      </w:r>
      <w:r>
        <w:rPr>
          <w:rFonts w:hint="eastAsia" w:ascii="楷体_GB2312" w:hAnsi="仿宋" w:eastAsia="楷体_GB2312" w:cs="Times New Roman"/>
          <w:b w:val="0"/>
          <w:bCs w:val="0"/>
        </w:rPr>
        <w:t>保障城市基础设施正常运行具有重要的意义</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区级专项资金的设置对保障灵山垃圾场正常运行、环卫基础设施安全，通过专业的处理方式和设立专项资金予以保障，对项目的持续运行具有重要的意义。</w:t>
      </w:r>
    </w:p>
    <w:p>
      <w:pPr>
        <w:spacing w:after="0" w:line="570" w:lineRule="exact"/>
        <w:ind w:firstLine="640" w:firstLineChars="200"/>
        <w:jc w:val="both"/>
        <w:rPr>
          <w:rFonts w:ascii="仿宋_GB2312" w:hAnsi="仿宋" w:eastAsia="仿宋_GB2312" w:cs="Times New Roman"/>
          <w:color w:val="C00000"/>
          <w:sz w:val="32"/>
          <w:szCs w:val="32"/>
        </w:rPr>
      </w:pPr>
      <w:r>
        <w:rPr>
          <w:rFonts w:hint="eastAsia" w:ascii="仿宋_GB2312" w:hAnsi="仿宋" w:eastAsia="仿宋_GB2312" w:cs="Times New Roman"/>
          <w:sz w:val="32"/>
          <w:szCs w:val="32"/>
        </w:rPr>
        <w:t>灵山垃圾处理场运营管理机构，按照行业环保标准和垃圾处理的要求，采用专业化的技术和管理方法，通过运营管理保证生活垃圾处理安全。垃圾填埋后产生的渗滤液全部通过收集系统进入厂区配套的渗滤液处理站进行综合无害化处理，处理工艺采用“调节池+外置式MBR系统（反硝化罐+硝化罐+超滤系统）+纳滤系统+反渗透系统”工艺，渗滤液经工艺处理达到《生活垃圾填埋场污染控制标准》中水排放要求，综合利用后，剩余部分通过专用管网排放至区灵山污水处理厂综合处理。</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（二）项目实施注重生态环境保护，对城市可持续发展具有重要的生态效益</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人类经济和社会的发展不能超越资源和环境的承载能力，环境保护是可持续发展的重要方面，卫生填埋的处理方法具有技术可靠、操作管理简单、不需要进行后续处置、处理量大、对垃圾成分没有严格要求、 投资运营成本较低等优点。根据监测机构对灵山垃圾场主要污染物排放浓度的监测结果显示，2019年度灵山垃圾场废水排放无超标情况发生，符合环保要求。根据检测机构对灵山垃圾场土壤的检测结果显示，灵山垃圾场的生活垃圾填埋区产生的渗滤液经妥善处理后，达到环境保护对土壤污染控制标准的限值要求。为了避免出现突发环境事件，市环卫中心制定了《即墨区灵山固体废弃物处理场突发环境事件应急预案》，并经青岛市生态环境局即墨分局备案（备案编号：370215-2019-092-L），从源头保证对生态环境的影响降低到最低程度。</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（三）项目实施避免渗滤液对周边环境造成二次污染，保障居民生活，促进可持续性发展</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Times New Roman" w:eastAsia="仿宋_GB2312"/>
          <w:sz w:val="32"/>
          <w:szCs w:val="28"/>
        </w:rPr>
        <w:t>灵山垃圾处理场</w:t>
      </w:r>
      <w:r>
        <w:rPr>
          <w:rFonts w:hint="eastAsia" w:ascii="仿宋_GB2312" w:hAnsi="仿宋" w:eastAsia="仿宋_GB2312" w:cs="Times New Roman"/>
          <w:sz w:val="32"/>
          <w:szCs w:val="32"/>
        </w:rPr>
        <w:t>一期生活垃圾卫生填埋区于2013年12月封场。项目持续运行过程中未发生渗滤液渗漏等安全事故。渗滤液的处理是保证垃圾长期、安全处置的关键，更是保障区域内地表水、地下水安全的重要手段。灵山垃圾场根据《生活垃圾填埋场污染控制标准》GJ16889-2008的规定，保证对污染物危害性的有效消除，阻止渗滤液继续污染周边环境</w:t>
      </w:r>
      <w:r>
        <w:rPr>
          <w:rFonts w:hint="eastAsia" w:ascii="仿宋_GB2312" w:hAnsi="Times New Roman" w:eastAsia="仿宋_GB2312"/>
          <w:sz w:val="32"/>
          <w:szCs w:val="28"/>
        </w:rPr>
        <w:t>，</w:t>
      </w:r>
      <w:r>
        <w:rPr>
          <w:rFonts w:hint="eastAsia" w:ascii="仿宋_GB2312" w:hAnsi="仿宋" w:eastAsia="仿宋_GB2312" w:cs="Times New Roman"/>
          <w:sz w:val="32"/>
          <w:szCs w:val="32"/>
        </w:rPr>
        <w:t>保障居民生活，促进可持续性发展。</w:t>
      </w:r>
    </w:p>
    <w:p>
      <w:pPr>
        <w:pStyle w:val="2"/>
        <w:spacing w:line="570" w:lineRule="exact"/>
        <w:ind w:firstLine="640" w:firstLineChars="200"/>
        <w:rPr>
          <w:rFonts w:ascii="黑体" w:hAnsi="黑体"/>
          <w:sz w:val="32"/>
          <w:szCs w:val="32"/>
        </w:rPr>
      </w:pPr>
      <w:r>
        <w:rPr>
          <w:rFonts w:hint="eastAsia" w:ascii="黑体" w:hAnsi="黑体"/>
          <w:sz w:val="32"/>
          <w:szCs w:val="32"/>
        </w:rPr>
        <w:t>二、存在的</w:t>
      </w:r>
      <w:r>
        <w:rPr>
          <w:rFonts w:ascii="黑体" w:hAnsi="黑体"/>
          <w:sz w:val="32"/>
          <w:szCs w:val="32"/>
        </w:rPr>
        <w:t>问题</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（一）专项资金存在非预算批复范围内的支出</w:t>
      </w:r>
    </w:p>
    <w:p>
      <w:pPr>
        <w:pStyle w:val="34"/>
        <w:spacing w:line="570" w:lineRule="exact"/>
        <w:ind w:firstLine="640"/>
        <w:rPr>
          <w:rFonts w:ascii="仿宋_GB2312" w:hAnsi="仿宋" w:eastAsia="仿宋_GB2312"/>
          <w:sz w:val="32"/>
          <w:szCs w:val="32"/>
        </w:rPr>
      </w:pPr>
      <w:r>
        <w:rPr>
          <w:rFonts w:hint="eastAsia" w:ascii="仿宋_GB2312" w:hAnsi="仿宋" w:eastAsia="仿宋_GB2312"/>
          <w:sz w:val="32"/>
          <w:szCs w:val="32"/>
        </w:rPr>
        <w:t>根据被评价单位提供的数据资料，灵山垃圾处理场使用2019年年度专项资金对厂区二期预留区域进行部分工程施工，产生相关费用支出12.73万元，评价中发现施工地点及费用不属于本专项资金保障范围，应自其他处理费收入中列支。上述问题反映出预算单位在使用专项资金过程中部分资金支出不符合项目绩效目标设定的使用方向。</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（二）管理制度执行有效性方面，药品使用量与采购量存在偏差</w:t>
      </w:r>
    </w:p>
    <w:p>
      <w:pPr>
        <w:pStyle w:val="34"/>
        <w:spacing w:line="570" w:lineRule="exact"/>
        <w:ind w:firstLine="640"/>
        <w:rPr>
          <w:rFonts w:ascii="仿宋_GB2312" w:hAnsi="仿宋" w:eastAsia="仿宋_GB2312"/>
          <w:sz w:val="32"/>
          <w:szCs w:val="32"/>
        </w:rPr>
      </w:pPr>
      <w:r>
        <w:rPr>
          <w:rFonts w:hint="eastAsia" w:ascii="仿宋_GB2312" w:hAnsi="仿宋" w:eastAsia="仿宋_GB2312"/>
          <w:sz w:val="32"/>
          <w:szCs w:val="32"/>
        </w:rPr>
        <w:t>评价中发现，实施单位在运行过程中渗滤液处理使用添加药品的出入库记录、运行日志和实际使用量等基础数据均存在偏差，不能真实反映其生产管理全过程。评价小组经对比、测算得出初步结论，实施企业未建立有效的运行日志，主要药品采购量与实际使用量存在偏差，个别种类药品年度预算数量比实际使用量偏大。</w:t>
      </w:r>
    </w:p>
    <w:p>
      <w:pPr>
        <w:pStyle w:val="2"/>
        <w:spacing w:line="570" w:lineRule="exact"/>
        <w:ind w:firstLine="640" w:firstLineChars="200"/>
        <w:rPr>
          <w:rFonts w:ascii="黑体" w:hAnsi="黑体"/>
          <w:sz w:val="32"/>
          <w:szCs w:val="32"/>
        </w:rPr>
      </w:pPr>
      <w:r>
        <w:rPr>
          <w:rFonts w:hint="eastAsia" w:ascii="黑体" w:hAnsi="黑体"/>
          <w:sz w:val="32"/>
          <w:szCs w:val="32"/>
        </w:rPr>
        <w:t>三、管理</w:t>
      </w:r>
      <w:r>
        <w:rPr>
          <w:rFonts w:ascii="黑体" w:hAnsi="黑体"/>
          <w:sz w:val="32"/>
          <w:szCs w:val="32"/>
        </w:rPr>
        <w:t>建议</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（一）加强专项资金预算绩效管理，建议调整项目以后年度预算</w:t>
      </w:r>
    </w:p>
    <w:p>
      <w:pPr>
        <w:pStyle w:val="34"/>
        <w:spacing w:line="570" w:lineRule="exact"/>
        <w:ind w:firstLine="640"/>
        <w:rPr>
          <w:rFonts w:hint="eastAsia" w:ascii="仿宋_GB2312" w:hAnsi="仿宋" w:eastAsia="仿宋_GB2312"/>
          <w:sz w:val="32"/>
          <w:szCs w:val="32"/>
        </w:rPr>
      </w:pPr>
      <w:r>
        <w:rPr>
          <w:rFonts w:hint="eastAsia" w:ascii="仿宋_GB2312" w:hAnsi="仿宋" w:eastAsia="仿宋_GB2312" w:cs="Times New Roman"/>
          <w:sz w:val="32"/>
          <w:szCs w:val="32"/>
        </w:rPr>
        <w:t>灵山垃圾场管理运行及渗滤液处理专项资金2019年预算金额200万元，通过</w:t>
      </w:r>
      <w:r>
        <w:rPr>
          <w:rFonts w:hint="eastAsia" w:ascii="仿宋_GB2312" w:hAnsi="仿宋" w:eastAsia="仿宋_GB2312"/>
          <w:sz w:val="32"/>
          <w:szCs w:val="32"/>
        </w:rPr>
        <w:t>评价建议该厂区渗滤液处理药品添加量可暂按实际使用38.84万元的50%考虑。专项资金应严格按照绩效目标批复范围内支出项目组织实施，做到专款专用，不应列支其他项目费用。</w:t>
      </w:r>
    </w:p>
    <w:p>
      <w:pPr>
        <w:pStyle w:val="34"/>
        <w:spacing w:line="570" w:lineRule="exact"/>
        <w:ind w:firstLine="640"/>
        <w:rPr>
          <w:rFonts w:ascii="仿宋_GB2312" w:hAnsi="仿宋" w:eastAsia="仿宋_GB2312"/>
          <w:sz w:val="32"/>
          <w:szCs w:val="32"/>
        </w:rPr>
      </w:pPr>
      <w:r>
        <w:rPr>
          <w:rFonts w:hint="eastAsia" w:ascii="仿宋_GB2312" w:hAnsi="仿宋" w:eastAsia="仿宋_GB2312"/>
          <w:sz w:val="32"/>
          <w:szCs w:val="32"/>
        </w:rPr>
        <w:t>建议将2019年度自本专项资金中支付的二期预留区域部分工程施工费用12.73万元自2020年预算执行中予以扣回。</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（二）提高内部管理水平，严格执行内控制度</w:t>
      </w:r>
    </w:p>
    <w:p>
      <w:pPr>
        <w:pStyle w:val="34"/>
        <w:spacing w:line="570" w:lineRule="exact"/>
        <w:ind w:firstLine="640"/>
        <w:rPr>
          <w:rFonts w:ascii="仿宋_GB2312" w:hAnsi="仿宋" w:eastAsia="仿宋_GB2312" w:cs="仿宋"/>
          <w:bCs/>
          <w:kern w:val="2"/>
          <w:sz w:val="32"/>
          <w:szCs w:val="32"/>
        </w:rPr>
      </w:pPr>
      <w:r>
        <w:rPr>
          <w:rFonts w:hint="eastAsia" w:ascii="仿宋_GB2312" w:hAnsi="仿宋" w:eastAsia="仿宋_GB2312" w:cs="仿宋"/>
          <w:bCs/>
          <w:kern w:val="2"/>
          <w:sz w:val="32"/>
          <w:szCs w:val="32"/>
        </w:rPr>
        <w:t>建议根据《中华人民共和国会计法》、《中华人民共和国预算法》等法律法规和相关规定，建立、健全符合本单位工作实际的内部控制体系，并严格实施。在此基础上根据相关规定组织修订单位内部管理制度并贯彻执行。建议预算单位组织实施企业根据垃圾场目前渗滤液产生量重新核定药品需求用量，保证主要药品按需采购，按实领用，按量添加。</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rPr>
      </w:pPr>
      <w:r>
        <w:rPr>
          <w:rFonts w:hint="eastAsia" w:ascii="楷体_GB2312" w:hAnsi="仿宋" w:eastAsia="楷体_GB2312" w:cs="Times New Roman"/>
          <w:b w:val="0"/>
          <w:bCs w:val="0"/>
        </w:rPr>
        <w:t>（三）树立部门预算绩效主体责任意识，提高财政资金绩效管理水平</w:t>
      </w:r>
    </w:p>
    <w:p>
      <w:pPr>
        <w:pStyle w:val="34"/>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预算部门应严格按照《关于深化预算绩效管理改革全面推进预算绩效管理的实施意见》（即办发[2020]8号）规定“预算部门要依法履行部门预算编制、预算执行和绩效管理主体责任……”，加强专项资金监管，切实提高实施单位、企业管理水平，保障资金绩效。</w:t>
      </w:r>
    </w:p>
    <w:p>
      <w:pPr>
        <w:pStyle w:val="34"/>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对本次评价发现的问题，区住房和城乡建设局作为项目主管单位，应组织下属单位在生产运营中建立规范的运行机制，切实加强专项资金管理，保障资金使用绩效。</w:t>
      </w:r>
    </w:p>
    <w:p>
      <w:pPr>
        <w:pStyle w:val="34"/>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区园林环卫服务中心作为项目责任单位，应加强对</w:t>
      </w:r>
      <w:r>
        <w:rPr>
          <w:rFonts w:hint="eastAsia" w:ascii="仿宋_GB2312" w:hAnsi="仿宋" w:eastAsia="仿宋_GB2312"/>
          <w:sz w:val="32"/>
          <w:szCs w:val="32"/>
        </w:rPr>
        <w:t>灵山垃圾场运行及渗滤液处理专项资金管理和审查力度，对专项资金的使用、管理等程序进行确认，并按照《青岛市即墨区预算绩效管理办法》（即财绩效[2020]260号）具体要求，强化绩效意识，提高监管水平，</w:t>
      </w:r>
      <w:r>
        <w:rPr>
          <w:rFonts w:hint="eastAsia" w:ascii="仿宋_GB2312" w:hAnsi="仿宋" w:eastAsia="仿宋_GB2312" w:cs="Times New Roman"/>
          <w:kern w:val="2"/>
          <w:sz w:val="32"/>
          <w:szCs w:val="32"/>
        </w:rPr>
        <w:t>充分发挥财政专项资金效益。</w:t>
      </w:r>
    </w:p>
    <w:p>
      <w:pPr>
        <w:pStyle w:val="34"/>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本报告可作为安排、调整专项资金预算的参考依据。</w:t>
      </w:r>
    </w:p>
    <w:sectPr>
      <w:footnotePr>
        <w:numFmt w:val="decimalEnclosedCircleChinese"/>
      </w:footnotePr>
      <w:pgSz w:w="11906" w:h="16838"/>
      <w:pgMar w:top="2098" w:right="1474" w:bottom="1418" w:left="1588" w:header="850" w:footer="1587"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408812"/>
      <w:docPartObj>
        <w:docPartGallery w:val="AutoText"/>
      </w:docPartObj>
    </w:sdtPr>
    <w:sdtContent>
      <w:p>
        <w:pPr>
          <w:pStyle w:val="10"/>
          <w:ind w:firstLine="360"/>
          <w:jc w:val="center"/>
        </w:pPr>
        <w:r>
          <w:fldChar w:fldCharType="begin"/>
        </w:r>
        <w:r>
          <w:instrText xml:space="preserve">PAGE   \* MERGEFORMAT</w:instrText>
        </w:r>
        <w:r>
          <w:fldChar w:fldCharType="separate"/>
        </w:r>
        <w:r>
          <w:rPr>
            <w:lang w:val="zh-CN"/>
          </w:rPr>
          <w:t>6</w:t>
        </w:r>
        <w:r>
          <w:rPr>
            <w:lang w:val="zh-CN"/>
          </w:rPr>
          <w:fldChar w:fldCharType="end"/>
        </w:r>
      </w:p>
    </w:sdtContent>
  </w:sdt>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360"/>
      <w:rPr>
        <w:rStyle w:val="17"/>
      </w:rPr>
    </w:pPr>
    <w:r>
      <w:fldChar w:fldCharType="begin"/>
    </w:r>
    <w:r>
      <w:rPr>
        <w:rStyle w:val="17"/>
      </w:rPr>
      <w:instrText xml:space="preserve">PAGE  </w:instrText>
    </w:r>
    <w:r>
      <w:fldChar w:fldCharType="end"/>
    </w:r>
  </w:p>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360"/>
      <w:rPr>
        <w:rStyle w:val="17"/>
      </w:rPr>
    </w:pPr>
    <w:r>
      <w:fldChar w:fldCharType="begin"/>
    </w:r>
    <w:r>
      <w:rPr>
        <w:rStyle w:val="17"/>
      </w:rPr>
      <w:instrText xml:space="preserve">PAGE  </w:instrText>
    </w:r>
    <w:r>
      <w:fldChar w:fldCharType="separate"/>
    </w:r>
    <w:r>
      <w:rPr>
        <w:rStyle w:val="17"/>
      </w:rPr>
      <w:t>I</w:t>
    </w:r>
    <w:r>
      <w:fldChar w:fldCharType="end"/>
    </w:r>
  </w:p>
  <w:p>
    <w:pPr>
      <w:pStyle w:val="1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20"/>
    </w:pPr>
    <w:r>
      <w:rPr>
        <w:rFonts w:hint="eastAsia" w:ascii="楷体" w:hAnsi="楷体" w:eastAsia="楷体"/>
        <w:sz w:val="21"/>
        <w:szCs w:val="21"/>
      </w:rPr>
      <w:t>2019年灵山垃圾场运行及渗滤液处理专项资金绩效评价报告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E6D"/>
    <w:rsid w:val="00001960"/>
    <w:rsid w:val="000055CB"/>
    <w:rsid w:val="00005A9E"/>
    <w:rsid w:val="000114C4"/>
    <w:rsid w:val="000118CB"/>
    <w:rsid w:val="000126EB"/>
    <w:rsid w:val="00014DE3"/>
    <w:rsid w:val="00022CB2"/>
    <w:rsid w:val="00024A70"/>
    <w:rsid w:val="00027291"/>
    <w:rsid w:val="00033B9C"/>
    <w:rsid w:val="00035E3A"/>
    <w:rsid w:val="00042124"/>
    <w:rsid w:val="000549AF"/>
    <w:rsid w:val="0005692A"/>
    <w:rsid w:val="00061019"/>
    <w:rsid w:val="00063004"/>
    <w:rsid w:val="00065462"/>
    <w:rsid w:val="00071C62"/>
    <w:rsid w:val="00072C90"/>
    <w:rsid w:val="00073AAF"/>
    <w:rsid w:val="00073F8E"/>
    <w:rsid w:val="000748B2"/>
    <w:rsid w:val="00074F41"/>
    <w:rsid w:val="0007565F"/>
    <w:rsid w:val="000831CC"/>
    <w:rsid w:val="00090E0C"/>
    <w:rsid w:val="00093431"/>
    <w:rsid w:val="00093866"/>
    <w:rsid w:val="000A0AEA"/>
    <w:rsid w:val="000A4CCD"/>
    <w:rsid w:val="000A4E2A"/>
    <w:rsid w:val="000A5138"/>
    <w:rsid w:val="000C25C0"/>
    <w:rsid w:val="000C3D40"/>
    <w:rsid w:val="000C43BC"/>
    <w:rsid w:val="000C6014"/>
    <w:rsid w:val="000D1053"/>
    <w:rsid w:val="000D2CC4"/>
    <w:rsid w:val="000D4299"/>
    <w:rsid w:val="000E0453"/>
    <w:rsid w:val="000E14E2"/>
    <w:rsid w:val="000E2D82"/>
    <w:rsid w:val="000E6F16"/>
    <w:rsid w:val="000F0410"/>
    <w:rsid w:val="000F266E"/>
    <w:rsid w:val="001052C1"/>
    <w:rsid w:val="00127637"/>
    <w:rsid w:val="0013142B"/>
    <w:rsid w:val="001354B0"/>
    <w:rsid w:val="001436B9"/>
    <w:rsid w:val="00144393"/>
    <w:rsid w:val="0014643C"/>
    <w:rsid w:val="0016131A"/>
    <w:rsid w:val="00162906"/>
    <w:rsid w:val="0016315B"/>
    <w:rsid w:val="00166EC6"/>
    <w:rsid w:val="00170E91"/>
    <w:rsid w:val="00172E33"/>
    <w:rsid w:val="00182FB5"/>
    <w:rsid w:val="00184307"/>
    <w:rsid w:val="001863D8"/>
    <w:rsid w:val="001A2E12"/>
    <w:rsid w:val="001A3CCB"/>
    <w:rsid w:val="001A6FC4"/>
    <w:rsid w:val="001B19CF"/>
    <w:rsid w:val="001B2086"/>
    <w:rsid w:val="001B7C43"/>
    <w:rsid w:val="001C2103"/>
    <w:rsid w:val="001C2D6B"/>
    <w:rsid w:val="001C505E"/>
    <w:rsid w:val="001C6507"/>
    <w:rsid w:val="001D0E6F"/>
    <w:rsid w:val="001D4620"/>
    <w:rsid w:val="001D65C5"/>
    <w:rsid w:val="001D6DA1"/>
    <w:rsid w:val="001E272A"/>
    <w:rsid w:val="001E5CA0"/>
    <w:rsid w:val="001E79D6"/>
    <w:rsid w:val="001F0C4F"/>
    <w:rsid w:val="001F2B67"/>
    <w:rsid w:val="001F63B3"/>
    <w:rsid w:val="00200C20"/>
    <w:rsid w:val="002027C7"/>
    <w:rsid w:val="00204B84"/>
    <w:rsid w:val="0020582E"/>
    <w:rsid w:val="00207AAA"/>
    <w:rsid w:val="00210844"/>
    <w:rsid w:val="002127E2"/>
    <w:rsid w:val="002170C3"/>
    <w:rsid w:val="002178B6"/>
    <w:rsid w:val="00226CB2"/>
    <w:rsid w:val="00235A68"/>
    <w:rsid w:val="00235F49"/>
    <w:rsid w:val="00236BE7"/>
    <w:rsid w:val="00254090"/>
    <w:rsid w:val="00254284"/>
    <w:rsid w:val="00254F7C"/>
    <w:rsid w:val="00260B23"/>
    <w:rsid w:val="002642D6"/>
    <w:rsid w:val="002708A2"/>
    <w:rsid w:val="00272149"/>
    <w:rsid w:val="00277945"/>
    <w:rsid w:val="0028099D"/>
    <w:rsid w:val="0028111A"/>
    <w:rsid w:val="0028562F"/>
    <w:rsid w:val="002923BC"/>
    <w:rsid w:val="00292DD5"/>
    <w:rsid w:val="002A0AD8"/>
    <w:rsid w:val="002A1817"/>
    <w:rsid w:val="002A1948"/>
    <w:rsid w:val="002B1670"/>
    <w:rsid w:val="002B1CA6"/>
    <w:rsid w:val="002B23BE"/>
    <w:rsid w:val="002B3391"/>
    <w:rsid w:val="002B46B8"/>
    <w:rsid w:val="002C5354"/>
    <w:rsid w:val="002C7148"/>
    <w:rsid w:val="002D0A1D"/>
    <w:rsid w:val="002D6B5F"/>
    <w:rsid w:val="002D7052"/>
    <w:rsid w:val="002D7C74"/>
    <w:rsid w:val="002E05D0"/>
    <w:rsid w:val="002E41AF"/>
    <w:rsid w:val="002F3976"/>
    <w:rsid w:val="002F7836"/>
    <w:rsid w:val="00303017"/>
    <w:rsid w:val="00310925"/>
    <w:rsid w:val="003120D3"/>
    <w:rsid w:val="003154E4"/>
    <w:rsid w:val="0031703C"/>
    <w:rsid w:val="0032043E"/>
    <w:rsid w:val="00323B43"/>
    <w:rsid w:val="003247C3"/>
    <w:rsid w:val="003266ED"/>
    <w:rsid w:val="003268E4"/>
    <w:rsid w:val="00332A7D"/>
    <w:rsid w:val="00333939"/>
    <w:rsid w:val="00342A16"/>
    <w:rsid w:val="00345AFB"/>
    <w:rsid w:val="00347D97"/>
    <w:rsid w:val="00350611"/>
    <w:rsid w:val="00350F02"/>
    <w:rsid w:val="003553EA"/>
    <w:rsid w:val="00362421"/>
    <w:rsid w:val="00364376"/>
    <w:rsid w:val="00365E29"/>
    <w:rsid w:val="00367B0E"/>
    <w:rsid w:val="00367F42"/>
    <w:rsid w:val="00377185"/>
    <w:rsid w:val="00387A98"/>
    <w:rsid w:val="003927E2"/>
    <w:rsid w:val="00396C92"/>
    <w:rsid w:val="00397C12"/>
    <w:rsid w:val="003A23EE"/>
    <w:rsid w:val="003A301C"/>
    <w:rsid w:val="003A5F30"/>
    <w:rsid w:val="003B528A"/>
    <w:rsid w:val="003B5A98"/>
    <w:rsid w:val="003C1925"/>
    <w:rsid w:val="003C37E1"/>
    <w:rsid w:val="003C3D82"/>
    <w:rsid w:val="003C489A"/>
    <w:rsid w:val="003D37D8"/>
    <w:rsid w:val="003F2C07"/>
    <w:rsid w:val="003F3061"/>
    <w:rsid w:val="003F46D9"/>
    <w:rsid w:val="00423B4A"/>
    <w:rsid w:val="00424215"/>
    <w:rsid w:val="0042503E"/>
    <w:rsid w:val="00425FAE"/>
    <w:rsid w:val="00426133"/>
    <w:rsid w:val="004358AB"/>
    <w:rsid w:val="004370FF"/>
    <w:rsid w:val="0044138B"/>
    <w:rsid w:val="00443E5D"/>
    <w:rsid w:val="004470F0"/>
    <w:rsid w:val="0045333B"/>
    <w:rsid w:val="00453689"/>
    <w:rsid w:val="00454E7A"/>
    <w:rsid w:val="004675D7"/>
    <w:rsid w:val="0047531A"/>
    <w:rsid w:val="00477B94"/>
    <w:rsid w:val="00477FD9"/>
    <w:rsid w:val="00481602"/>
    <w:rsid w:val="00481FBE"/>
    <w:rsid w:val="00486D21"/>
    <w:rsid w:val="004958CF"/>
    <w:rsid w:val="00497939"/>
    <w:rsid w:val="00497BBD"/>
    <w:rsid w:val="004A4549"/>
    <w:rsid w:val="004A706E"/>
    <w:rsid w:val="004B516F"/>
    <w:rsid w:val="004B648C"/>
    <w:rsid w:val="004B7588"/>
    <w:rsid w:val="004B7D35"/>
    <w:rsid w:val="004C0082"/>
    <w:rsid w:val="004C0AD8"/>
    <w:rsid w:val="004D1B90"/>
    <w:rsid w:val="004D2695"/>
    <w:rsid w:val="004D300C"/>
    <w:rsid w:val="004D7077"/>
    <w:rsid w:val="004E1B13"/>
    <w:rsid w:val="004F0961"/>
    <w:rsid w:val="004F61C2"/>
    <w:rsid w:val="00502B52"/>
    <w:rsid w:val="00506CAD"/>
    <w:rsid w:val="00520CE3"/>
    <w:rsid w:val="00522FCB"/>
    <w:rsid w:val="00537934"/>
    <w:rsid w:val="0054455F"/>
    <w:rsid w:val="00545BFA"/>
    <w:rsid w:val="00546759"/>
    <w:rsid w:val="00553DAE"/>
    <w:rsid w:val="005600DF"/>
    <w:rsid w:val="00564EFA"/>
    <w:rsid w:val="00567D4E"/>
    <w:rsid w:val="005712BA"/>
    <w:rsid w:val="0057296A"/>
    <w:rsid w:val="00573F66"/>
    <w:rsid w:val="00577B17"/>
    <w:rsid w:val="0058383E"/>
    <w:rsid w:val="00583B95"/>
    <w:rsid w:val="00592A65"/>
    <w:rsid w:val="00597055"/>
    <w:rsid w:val="005B0438"/>
    <w:rsid w:val="005C058A"/>
    <w:rsid w:val="005C07C1"/>
    <w:rsid w:val="005C1AD4"/>
    <w:rsid w:val="005D080F"/>
    <w:rsid w:val="005D1085"/>
    <w:rsid w:val="005E53AE"/>
    <w:rsid w:val="005F24D6"/>
    <w:rsid w:val="005F5F64"/>
    <w:rsid w:val="005F6B93"/>
    <w:rsid w:val="006025DE"/>
    <w:rsid w:val="00606E41"/>
    <w:rsid w:val="00607DEA"/>
    <w:rsid w:val="00611E52"/>
    <w:rsid w:val="00615166"/>
    <w:rsid w:val="006207C5"/>
    <w:rsid w:val="006240FE"/>
    <w:rsid w:val="00626453"/>
    <w:rsid w:val="006412C6"/>
    <w:rsid w:val="00646852"/>
    <w:rsid w:val="00651803"/>
    <w:rsid w:val="006530EE"/>
    <w:rsid w:val="00664AC7"/>
    <w:rsid w:val="0066634B"/>
    <w:rsid w:val="00671AAC"/>
    <w:rsid w:val="00672DFD"/>
    <w:rsid w:val="00683D2E"/>
    <w:rsid w:val="00686CB1"/>
    <w:rsid w:val="00687314"/>
    <w:rsid w:val="006903CC"/>
    <w:rsid w:val="00692FA4"/>
    <w:rsid w:val="006963CC"/>
    <w:rsid w:val="006970E4"/>
    <w:rsid w:val="00697EA9"/>
    <w:rsid w:val="006A788A"/>
    <w:rsid w:val="006C4C3E"/>
    <w:rsid w:val="006C6043"/>
    <w:rsid w:val="006E7707"/>
    <w:rsid w:val="006F2D6B"/>
    <w:rsid w:val="006F49C9"/>
    <w:rsid w:val="006F4B8F"/>
    <w:rsid w:val="00703A04"/>
    <w:rsid w:val="007067DB"/>
    <w:rsid w:val="00710B4F"/>
    <w:rsid w:val="00710E52"/>
    <w:rsid w:val="00713E6F"/>
    <w:rsid w:val="00720612"/>
    <w:rsid w:val="007226B7"/>
    <w:rsid w:val="00733334"/>
    <w:rsid w:val="0074031E"/>
    <w:rsid w:val="00741DA2"/>
    <w:rsid w:val="00744A4F"/>
    <w:rsid w:val="00747D57"/>
    <w:rsid w:val="00752014"/>
    <w:rsid w:val="00754B13"/>
    <w:rsid w:val="00761E30"/>
    <w:rsid w:val="00766D53"/>
    <w:rsid w:val="007701C0"/>
    <w:rsid w:val="00770ABC"/>
    <w:rsid w:val="00771F4E"/>
    <w:rsid w:val="00773F59"/>
    <w:rsid w:val="00782C9A"/>
    <w:rsid w:val="00784591"/>
    <w:rsid w:val="00785BE8"/>
    <w:rsid w:val="007863BB"/>
    <w:rsid w:val="00795CC7"/>
    <w:rsid w:val="007A0FE1"/>
    <w:rsid w:val="007A3D49"/>
    <w:rsid w:val="007A6120"/>
    <w:rsid w:val="007B4E35"/>
    <w:rsid w:val="007B5508"/>
    <w:rsid w:val="007B5782"/>
    <w:rsid w:val="007B5C01"/>
    <w:rsid w:val="007B77FE"/>
    <w:rsid w:val="007D6D27"/>
    <w:rsid w:val="007E214A"/>
    <w:rsid w:val="007E4E70"/>
    <w:rsid w:val="007F4129"/>
    <w:rsid w:val="007F650D"/>
    <w:rsid w:val="0080501E"/>
    <w:rsid w:val="008114D8"/>
    <w:rsid w:val="008115F7"/>
    <w:rsid w:val="008157B8"/>
    <w:rsid w:val="00816151"/>
    <w:rsid w:val="00826CA0"/>
    <w:rsid w:val="00834373"/>
    <w:rsid w:val="00845136"/>
    <w:rsid w:val="00845426"/>
    <w:rsid w:val="00847694"/>
    <w:rsid w:val="008477AB"/>
    <w:rsid w:val="00852747"/>
    <w:rsid w:val="00852E0A"/>
    <w:rsid w:val="008556DE"/>
    <w:rsid w:val="00855B71"/>
    <w:rsid w:val="00856B9B"/>
    <w:rsid w:val="008572AC"/>
    <w:rsid w:val="00863692"/>
    <w:rsid w:val="00864A95"/>
    <w:rsid w:val="0087195B"/>
    <w:rsid w:val="008740B3"/>
    <w:rsid w:val="00880534"/>
    <w:rsid w:val="00882711"/>
    <w:rsid w:val="00892A82"/>
    <w:rsid w:val="008A07DE"/>
    <w:rsid w:val="008A15E4"/>
    <w:rsid w:val="008B29CF"/>
    <w:rsid w:val="008B58F7"/>
    <w:rsid w:val="008B7726"/>
    <w:rsid w:val="008B7FCF"/>
    <w:rsid w:val="008D04A1"/>
    <w:rsid w:val="008D1068"/>
    <w:rsid w:val="008D5BF2"/>
    <w:rsid w:val="008E3445"/>
    <w:rsid w:val="008E4422"/>
    <w:rsid w:val="008E6450"/>
    <w:rsid w:val="008E6D1E"/>
    <w:rsid w:val="008F4D3E"/>
    <w:rsid w:val="009012E0"/>
    <w:rsid w:val="009227F2"/>
    <w:rsid w:val="0093014F"/>
    <w:rsid w:val="00947B6E"/>
    <w:rsid w:val="00961665"/>
    <w:rsid w:val="00962000"/>
    <w:rsid w:val="009674DB"/>
    <w:rsid w:val="00967A38"/>
    <w:rsid w:val="00975F40"/>
    <w:rsid w:val="00983556"/>
    <w:rsid w:val="009873A5"/>
    <w:rsid w:val="00990599"/>
    <w:rsid w:val="00990B8D"/>
    <w:rsid w:val="0099325E"/>
    <w:rsid w:val="00993402"/>
    <w:rsid w:val="009B1660"/>
    <w:rsid w:val="009B62FA"/>
    <w:rsid w:val="009B6A07"/>
    <w:rsid w:val="009C17FD"/>
    <w:rsid w:val="009C33AD"/>
    <w:rsid w:val="009C35A4"/>
    <w:rsid w:val="009C6631"/>
    <w:rsid w:val="009C7E9C"/>
    <w:rsid w:val="009D0B70"/>
    <w:rsid w:val="009D0CBE"/>
    <w:rsid w:val="009D0F96"/>
    <w:rsid w:val="009D346A"/>
    <w:rsid w:val="009D51B8"/>
    <w:rsid w:val="009E483F"/>
    <w:rsid w:val="009F50E8"/>
    <w:rsid w:val="00A15DDA"/>
    <w:rsid w:val="00A2549C"/>
    <w:rsid w:val="00A26EBD"/>
    <w:rsid w:val="00A3325E"/>
    <w:rsid w:val="00A3343B"/>
    <w:rsid w:val="00A33E6F"/>
    <w:rsid w:val="00A41160"/>
    <w:rsid w:val="00A51FB0"/>
    <w:rsid w:val="00A62590"/>
    <w:rsid w:val="00A65CE6"/>
    <w:rsid w:val="00A6707F"/>
    <w:rsid w:val="00A7235C"/>
    <w:rsid w:val="00A7430B"/>
    <w:rsid w:val="00A86F75"/>
    <w:rsid w:val="00A92812"/>
    <w:rsid w:val="00A97940"/>
    <w:rsid w:val="00AA138D"/>
    <w:rsid w:val="00AB6F9B"/>
    <w:rsid w:val="00AB714D"/>
    <w:rsid w:val="00AB7EFA"/>
    <w:rsid w:val="00AC4E57"/>
    <w:rsid w:val="00AD7CC4"/>
    <w:rsid w:val="00AE2486"/>
    <w:rsid w:val="00AE5B3D"/>
    <w:rsid w:val="00AF3ABF"/>
    <w:rsid w:val="00AF60FE"/>
    <w:rsid w:val="00B06598"/>
    <w:rsid w:val="00B10101"/>
    <w:rsid w:val="00B106A9"/>
    <w:rsid w:val="00B21A99"/>
    <w:rsid w:val="00B23E37"/>
    <w:rsid w:val="00B25CD5"/>
    <w:rsid w:val="00B34CE2"/>
    <w:rsid w:val="00B42D16"/>
    <w:rsid w:val="00B71C41"/>
    <w:rsid w:val="00B843A8"/>
    <w:rsid w:val="00B8520B"/>
    <w:rsid w:val="00B90029"/>
    <w:rsid w:val="00BA690A"/>
    <w:rsid w:val="00BB162C"/>
    <w:rsid w:val="00BB22BD"/>
    <w:rsid w:val="00BB68DA"/>
    <w:rsid w:val="00BC0A67"/>
    <w:rsid w:val="00BC4709"/>
    <w:rsid w:val="00BD1773"/>
    <w:rsid w:val="00BD3544"/>
    <w:rsid w:val="00BE0DC0"/>
    <w:rsid w:val="00BE2A14"/>
    <w:rsid w:val="00BE2D9F"/>
    <w:rsid w:val="00BE5D9C"/>
    <w:rsid w:val="00BF074E"/>
    <w:rsid w:val="00BF07C7"/>
    <w:rsid w:val="00BF14B7"/>
    <w:rsid w:val="00BF4C0C"/>
    <w:rsid w:val="00BF53DC"/>
    <w:rsid w:val="00C03F30"/>
    <w:rsid w:val="00C05159"/>
    <w:rsid w:val="00C05BDD"/>
    <w:rsid w:val="00C065F8"/>
    <w:rsid w:val="00C06D70"/>
    <w:rsid w:val="00C16748"/>
    <w:rsid w:val="00C21AD0"/>
    <w:rsid w:val="00C3558B"/>
    <w:rsid w:val="00C5243F"/>
    <w:rsid w:val="00C53945"/>
    <w:rsid w:val="00C64245"/>
    <w:rsid w:val="00C70B46"/>
    <w:rsid w:val="00C960C0"/>
    <w:rsid w:val="00CA01ED"/>
    <w:rsid w:val="00CA2691"/>
    <w:rsid w:val="00CA6556"/>
    <w:rsid w:val="00CA7778"/>
    <w:rsid w:val="00CB6682"/>
    <w:rsid w:val="00CB6D74"/>
    <w:rsid w:val="00CD6A60"/>
    <w:rsid w:val="00CE7923"/>
    <w:rsid w:val="00CF0A17"/>
    <w:rsid w:val="00CF18C5"/>
    <w:rsid w:val="00CF354E"/>
    <w:rsid w:val="00CF613A"/>
    <w:rsid w:val="00D00C1B"/>
    <w:rsid w:val="00D07A18"/>
    <w:rsid w:val="00D210F5"/>
    <w:rsid w:val="00D216AF"/>
    <w:rsid w:val="00D31D50"/>
    <w:rsid w:val="00D353C8"/>
    <w:rsid w:val="00D44B7B"/>
    <w:rsid w:val="00D45F80"/>
    <w:rsid w:val="00D4641C"/>
    <w:rsid w:val="00D516DE"/>
    <w:rsid w:val="00D642ED"/>
    <w:rsid w:val="00D84AEE"/>
    <w:rsid w:val="00D85FC2"/>
    <w:rsid w:val="00D87441"/>
    <w:rsid w:val="00DA5E85"/>
    <w:rsid w:val="00DA7345"/>
    <w:rsid w:val="00DA7FCF"/>
    <w:rsid w:val="00DB2083"/>
    <w:rsid w:val="00DB5682"/>
    <w:rsid w:val="00DB6A14"/>
    <w:rsid w:val="00DC05E8"/>
    <w:rsid w:val="00DC2701"/>
    <w:rsid w:val="00DC6AFD"/>
    <w:rsid w:val="00DC770B"/>
    <w:rsid w:val="00DE0A2A"/>
    <w:rsid w:val="00DE3FF0"/>
    <w:rsid w:val="00DE776D"/>
    <w:rsid w:val="00DE7EE7"/>
    <w:rsid w:val="00DF0E64"/>
    <w:rsid w:val="00DF4ABD"/>
    <w:rsid w:val="00DF5E48"/>
    <w:rsid w:val="00E059C8"/>
    <w:rsid w:val="00E11808"/>
    <w:rsid w:val="00E12BD7"/>
    <w:rsid w:val="00E14E7F"/>
    <w:rsid w:val="00E21BDD"/>
    <w:rsid w:val="00E34519"/>
    <w:rsid w:val="00E34C39"/>
    <w:rsid w:val="00E35952"/>
    <w:rsid w:val="00E41CAC"/>
    <w:rsid w:val="00E475AC"/>
    <w:rsid w:val="00E51404"/>
    <w:rsid w:val="00E51C2D"/>
    <w:rsid w:val="00E5391B"/>
    <w:rsid w:val="00E54636"/>
    <w:rsid w:val="00E55CDA"/>
    <w:rsid w:val="00E56956"/>
    <w:rsid w:val="00E66952"/>
    <w:rsid w:val="00E704BD"/>
    <w:rsid w:val="00E74FFE"/>
    <w:rsid w:val="00E76A08"/>
    <w:rsid w:val="00E81994"/>
    <w:rsid w:val="00E84A0F"/>
    <w:rsid w:val="00E85BA5"/>
    <w:rsid w:val="00E864F9"/>
    <w:rsid w:val="00E86D3C"/>
    <w:rsid w:val="00E912AC"/>
    <w:rsid w:val="00EA0FCC"/>
    <w:rsid w:val="00EA1049"/>
    <w:rsid w:val="00EA3452"/>
    <w:rsid w:val="00EA3F70"/>
    <w:rsid w:val="00EA472F"/>
    <w:rsid w:val="00EA5ABF"/>
    <w:rsid w:val="00EA7508"/>
    <w:rsid w:val="00EB35A2"/>
    <w:rsid w:val="00EC0A24"/>
    <w:rsid w:val="00ED0479"/>
    <w:rsid w:val="00EF4660"/>
    <w:rsid w:val="00EF5523"/>
    <w:rsid w:val="00EF796A"/>
    <w:rsid w:val="00F07310"/>
    <w:rsid w:val="00F10B03"/>
    <w:rsid w:val="00F11E98"/>
    <w:rsid w:val="00F12139"/>
    <w:rsid w:val="00F142D8"/>
    <w:rsid w:val="00F2196D"/>
    <w:rsid w:val="00F22E8F"/>
    <w:rsid w:val="00F233A1"/>
    <w:rsid w:val="00F279DF"/>
    <w:rsid w:val="00F31BDF"/>
    <w:rsid w:val="00F3584F"/>
    <w:rsid w:val="00F366C7"/>
    <w:rsid w:val="00F41483"/>
    <w:rsid w:val="00F42E5A"/>
    <w:rsid w:val="00F42EA1"/>
    <w:rsid w:val="00F4629C"/>
    <w:rsid w:val="00F5029F"/>
    <w:rsid w:val="00F53D51"/>
    <w:rsid w:val="00F56A27"/>
    <w:rsid w:val="00F57450"/>
    <w:rsid w:val="00F66E1D"/>
    <w:rsid w:val="00F67408"/>
    <w:rsid w:val="00F70CD5"/>
    <w:rsid w:val="00F73ACD"/>
    <w:rsid w:val="00F80778"/>
    <w:rsid w:val="00F83941"/>
    <w:rsid w:val="00F9055A"/>
    <w:rsid w:val="00F93457"/>
    <w:rsid w:val="00F9736A"/>
    <w:rsid w:val="00FA308C"/>
    <w:rsid w:val="00FB161B"/>
    <w:rsid w:val="00FB3ECA"/>
    <w:rsid w:val="00FB7D37"/>
    <w:rsid w:val="00FC2937"/>
    <w:rsid w:val="00FC4E99"/>
    <w:rsid w:val="00FD1589"/>
    <w:rsid w:val="00FD43AA"/>
    <w:rsid w:val="00FD4D1C"/>
    <w:rsid w:val="00FD6CB9"/>
    <w:rsid w:val="00FE1CE8"/>
    <w:rsid w:val="00FE4B8B"/>
    <w:rsid w:val="00FE4BE3"/>
    <w:rsid w:val="00FF3C7B"/>
    <w:rsid w:val="13F115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3"/>
    <w:qFormat/>
    <w:uiPriority w:val="9"/>
    <w:pPr>
      <w:keepNext/>
      <w:keepLines/>
      <w:widowControl w:val="0"/>
      <w:adjustRightInd/>
      <w:snapToGrid/>
      <w:spacing w:after="0"/>
      <w:jc w:val="both"/>
      <w:outlineLvl w:val="0"/>
    </w:pPr>
    <w:rPr>
      <w:rFonts w:ascii="Calibri" w:hAnsi="Calibri" w:eastAsia="黑体" w:cs="Times New Roman"/>
      <w:bCs/>
      <w:kern w:val="44"/>
      <w:sz w:val="28"/>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3"/>
    <w:semiHidden/>
    <w:unhideWhenUsed/>
    <w:uiPriority w:val="99"/>
    <w:rPr>
      <w:b/>
      <w:bCs/>
    </w:rPr>
  </w:style>
  <w:style w:type="paragraph" w:styleId="6">
    <w:name w:val="annotation text"/>
    <w:basedOn w:val="1"/>
    <w:link w:val="42"/>
    <w:semiHidden/>
    <w:unhideWhenUsed/>
    <w:qFormat/>
    <w:uiPriority w:val="99"/>
  </w:style>
  <w:style w:type="paragraph" w:styleId="7">
    <w:name w:val="toc 3"/>
    <w:basedOn w:val="1"/>
    <w:next w:val="1"/>
    <w:unhideWhenUsed/>
    <w:qFormat/>
    <w:uiPriority w:val="39"/>
    <w:pPr>
      <w:ind w:left="840" w:leftChars="400"/>
    </w:pPr>
  </w:style>
  <w:style w:type="paragraph" w:styleId="8">
    <w:name w:val="endnote text"/>
    <w:basedOn w:val="1"/>
    <w:link w:val="40"/>
    <w:semiHidden/>
    <w:unhideWhenUsed/>
    <w:uiPriority w:val="99"/>
  </w:style>
  <w:style w:type="paragraph" w:styleId="9">
    <w:name w:val="Balloon Text"/>
    <w:basedOn w:val="1"/>
    <w:link w:val="38"/>
    <w:semiHidden/>
    <w:unhideWhenUsed/>
    <w:qFormat/>
    <w:uiPriority w:val="99"/>
    <w:pPr>
      <w:spacing w:after="0"/>
    </w:pPr>
    <w:rPr>
      <w:sz w:val="18"/>
      <w:szCs w:val="18"/>
    </w:rPr>
  </w:style>
  <w:style w:type="paragraph" w:styleId="10">
    <w:name w:val="footer"/>
    <w:basedOn w:val="1"/>
    <w:link w:val="26"/>
    <w:unhideWhenUsed/>
    <w:qFormat/>
    <w:uiPriority w:val="99"/>
    <w:pPr>
      <w:widowControl w:val="0"/>
      <w:tabs>
        <w:tab w:val="center" w:pos="4153"/>
        <w:tab w:val="right" w:pos="8306"/>
      </w:tabs>
      <w:adjustRightInd/>
      <w:spacing w:after="0" w:line="240" w:lineRule="atLeast"/>
      <w:ind w:firstLine="200" w:firstLineChars="200"/>
    </w:pPr>
    <w:rPr>
      <w:rFonts w:asciiTheme="minorHAnsi" w:hAnsiTheme="minorHAnsi"/>
      <w:sz w:val="18"/>
      <w:szCs w:val="18"/>
    </w:rPr>
  </w:style>
  <w:style w:type="paragraph" w:styleId="11">
    <w:name w:val="header"/>
    <w:basedOn w:val="1"/>
    <w:link w:val="27"/>
    <w:unhideWhenUsed/>
    <w:qFormat/>
    <w:uiPriority w:val="99"/>
    <w:pPr>
      <w:widowControl w:val="0"/>
      <w:pBdr>
        <w:bottom w:val="single" w:color="auto" w:sz="6" w:space="1"/>
      </w:pBdr>
      <w:tabs>
        <w:tab w:val="center" w:pos="4153"/>
        <w:tab w:val="right" w:pos="8306"/>
      </w:tabs>
      <w:adjustRightInd/>
      <w:spacing w:after="0" w:line="240" w:lineRule="atLeast"/>
      <w:ind w:firstLine="200" w:firstLineChars="200"/>
      <w:jc w:val="center"/>
    </w:pPr>
    <w:rPr>
      <w:rFonts w:asciiTheme="minorHAnsi" w:hAnsiTheme="minorHAnsi"/>
      <w:sz w:val="18"/>
      <w:szCs w:val="18"/>
    </w:rPr>
  </w:style>
  <w:style w:type="paragraph" w:styleId="12">
    <w:name w:val="toc 1"/>
    <w:basedOn w:val="1"/>
    <w:next w:val="1"/>
    <w:unhideWhenUsed/>
    <w:qFormat/>
    <w:uiPriority w:val="39"/>
  </w:style>
  <w:style w:type="paragraph" w:styleId="13">
    <w:name w:val="footnote text"/>
    <w:basedOn w:val="1"/>
    <w:link w:val="39"/>
    <w:semiHidden/>
    <w:unhideWhenUsed/>
    <w:qFormat/>
    <w:uiPriority w:val="99"/>
    <w:rPr>
      <w:sz w:val="18"/>
      <w:szCs w:val="18"/>
    </w:rPr>
  </w:style>
  <w:style w:type="paragraph" w:styleId="14">
    <w:name w:val="toc 2"/>
    <w:basedOn w:val="1"/>
    <w:next w:val="1"/>
    <w:unhideWhenUsed/>
    <w:qFormat/>
    <w:uiPriority w:val="39"/>
    <w:pPr>
      <w:ind w:left="420" w:leftChars="200"/>
    </w:pPr>
  </w:style>
  <w:style w:type="character" w:styleId="16">
    <w:name w:val="endnote reference"/>
    <w:basedOn w:val="15"/>
    <w:semiHidden/>
    <w:unhideWhenUsed/>
    <w:uiPriority w:val="99"/>
    <w:rPr>
      <w:vertAlign w:val="superscript"/>
    </w:rPr>
  </w:style>
  <w:style w:type="character" w:styleId="17">
    <w:name w:val="page number"/>
    <w:unhideWhenUsed/>
    <w:uiPriority w:val="0"/>
    <w:rPr>
      <w:rFonts w:cs="Times New Roman"/>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styleId="20">
    <w:name w:val="footnote reference"/>
    <w:basedOn w:val="15"/>
    <w:semiHidden/>
    <w:unhideWhenUsed/>
    <w:uiPriority w:val="99"/>
    <w:rPr>
      <w:vertAlign w:val="superscript"/>
    </w:rPr>
  </w:style>
  <w:style w:type="table" w:styleId="22">
    <w:name w:val="Table Grid"/>
    <w:basedOn w:val="21"/>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标题 1 Char"/>
    <w:basedOn w:val="15"/>
    <w:link w:val="2"/>
    <w:uiPriority w:val="9"/>
    <w:rPr>
      <w:rFonts w:ascii="Calibri" w:hAnsi="Calibri" w:eastAsia="黑体" w:cs="Times New Roman"/>
      <w:bCs/>
      <w:kern w:val="44"/>
      <w:sz w:val="28"/>
      <w:szCs w:val="44"/>
    </w:rPr>
  </w:style>
  <w:style w:type="character" w:customStyle="1" w:styleId="24">
    <w:name w:val="标题 2 Char"/>
    <w:basedOn w:val="15"/>
    <w:link w:val="3"/>
    <w:uiPriority w:val="9"/>
    <w:rPr>
      <w:rFonts w:asciiTheme="majorHAnsi" w:hAnsiTheme="majorHAnsi" w:eastAsiaTheme="majorEastAsia" w:cstheme="majorBidi"/>
      <w:b/>
      <w:bCs/>
      <w:sz w:val="32"/>
      <w:szCs w:val="32"/>
    </w:rPr>
  </w:style>
  <w:style w:type="character" w:customStyle="1" w:styleId="25">
    <w:name w:val="标题 3 Char"/>
    <w:basedOn w:val="15"/>
    <w:link w:val="4"/>
    <w:uiPriority w:val="9"/>
    <w:rPr>
      <w:rFonts w:ascii="Tahoma" w:hAnsi="Tahoma"/>
      <w:b/>
      <w:bCs/>
      <w:sz w:val="32"/>
      <w:szCs w:val="32"/>
    </w:rPr>
  </w:style>
  <w:style w:type="character" w:customStyle="1" w:styleId="26">
    <w:name w:val="页脚 Char1"/>
    <w:link w:val="10"/>
    <w:uiPriority w:val="99"/>
    <w:rPr>
      <w:sz w:val="18"/>
      <w:szCs w:val="18"/>
    </w:rPr>
  </w:style>
  <w:style w:type="character" w:customStyle="1" w:styleId="27">
    <w:name w:val="页眉 Char1"/>
    <w:link w:val="11"/>
    <w:qFormat/>
    <w:uiPriority w:val="99"/>
    <w:rPr>
      <w:sz w:val="18"/>
      <w:szCs w:val="18"/>
    </w:rPr>
  </w:style>
  <w:style w:type="character" w:customStyle="1" w:styleId="28">
    <w:name w:val="页脚 Char"/>
    <w:basedOn w:val="15"/>
    <w:qFormat/>
    <w:uiPriority w:val="99"/>
    <w:rPr>
      <w:rFonts w:ascii="Tahoma" w:hAnsi="Tahoma"/>
      <w:sz w:val="18"/>
      <w:szCs w:val="18"/>
    </w:rPr>
  </w:style>
  <w:style w:type="character" w:customStyle="1" w:styleId="29">
    <w:name w:val="页眉 Char"/>
    <w:basedOn w:val="15"/>
    <w:semiHidden/>
    <w:qFormat/>
    <w:uiPriority w:val="99"/>
    <w:rPr>
      <w:rFonts w:ascii="Tahoma" w:hAnsi="Tahoma"/>
      <w:sz w:val="18"/>
      <w:szCs w:val="18"/>
    </w:rPr>
  </w:style>
  <w:style w:type="paragraph" w:customStyle="1" w:styleId="30">
    <w:name w:val="_Style 16"/>
    <w:basedOn w:val="1"/>
    <w:next w:val="1"/>
    <w:unhideWhenUsed/>
    <w:qFormat/>
    <w:uiPriority w:val="39"/>
    <w:pPr>
      <w:widowControl w:val="0"/>
      <w:adjustRightInd/>
      <w:snapToGrid/>
      <w:spacing w:before="120" w:after="120" w:line="560" w:lineRule="exact"/>
      <w:ind w:firstLine="200" w:firstLineChars="200"/>
    </w:pPr>
    <w:rPr>
      <w:rFonts w:ascii="Calibri" w:hAnsi="Calibri" w:eastAsia="仿宋" w:cs="Times New Roman"/>
      <w:b/>
      <w:bCs/>
      <w:caps/>
      <w:kern w:val="2"/>
      <w:sz w:val="20"/>
      <w:szCs w:val="20"/>
    </w:rPr>
  </w:style>
  <w:style w:type="character" w:customStyle="1" w:styleId="31">
    <w:name w:val="列出段落 Char"/>
    <w:link w:val="32"/>
    <w:uiPriority w:val="34"/>
    <w:rPr>
      <w:kern w:val="2"/>
      <w:sz w:val="21"/>
    </w:rPr>
  </w:style>
  <w:style w:type="paragraph" w:customStyle="1" w:styleId="32">
    <w:name w:val="列表段落"/>
    <w:basedOn w:val="1"/>
    <w:link w:val="31"/>
    <w:qFormat/>
    <w:uiPriority w:val="34"/>
    <w:pPr>
      <w:widowControl w:val="0"/>
      <w:adjustRightInd/>
      <w:snapToGrid/>
      <w:spacing w:after="0"/>
      <w:ind w:firstLine="420"/>
      <w:jc w:val="both"/>
    </w:pPr>
    <w:rPr>
      <w:rFonts w:asciiTheme="minorHAnsi" w:hAnsiTheme="minorHAnsi"/>
      <w:kern w:val="2"/>
      <w:sz w:val="21"/>
    </w:rPr>
  </w:style>
  <w:style w:type="character" w:customStyle="1" w:styleId="33">
    <w:name w:val="报告正文 Char"/>
    <w:link w:val="34"/>
    <w:qFormat/>
    <w:uiPriority w:val="0"/>
    <w:rPr>
      <w:rFonts w:ascii="Times New Roman" w:hAnsi="Times New Roman" w:eastAsia="仿宋"/>
      <w:sz w:val="28"/>
      <w:szCs w:val="28"/>
    </w:rPr>
  </w:style>
  <w:style w:type="paragraph" w:customStyle="1" w:styleId="34">
    <w:name w:val="报告正文"/>
    <w:basedOn w:val="1"/>
    <w:link w:val="33"/>
    <w:qFormat/>
    <w:uiPriority w:val="0"/>
    <w:pPr>
      <w:widowControl w:val="0"/>
      <w:adjustRightInd/>
      <w:snapToGrid/>
      <w:spacing w:after="0" w:line="560" w:lineRule="exact"/>
      <w:ind w:firstLine="200" w:firstLineChars="200"/>
      <w:jc w:val="both"/>
    </w:pPr>
    <w:rPr>
      <w:rFonts w:ascii="Times New Roman" w:hAnsi="Times New Roman" w:eastAsia="仿宋"/>
      <w:sz w:val="28"/>
      <w:szCs w:val="28"/>
    </w:rPr>
  </w:style>
  <w:style w:type="character" w:customStyle="1" w:styleId="35">
    <w:name w:val="闻政正文 Char"/>
    <w:link w:val="36"/>
    <w:qFormat/>
    <w:locked/>
    <w:uiPriority w:val="0"/>
    <w:rPr>
      <w:rFonts w:ascii="Times New Roman" w:hAnsi="Times New Roman" w:eastAsia="仿宋_GB2312"/>
      <w:sz w:val="28"/>
    </w:rPr>
  </w:style>
  <w:style w:type="paragraph" w:customStyle="1" w:styleId="36">
    <w:name w:val="闻政正文"/>
    <w:basedOn w:val="1"/>
    <w:link w:val="35"/>
    <w:qFormat/>
    <w:uiPriority w:val="0"/>
    <w:pPr>
      <w:adjustRightInd/>
      <w:snapToGrid/>
      <w:spacing w:after="0" w:line="500" w:lineRule="exact"/>
      <w:ind w:firstLine="800" w:firstLineChars="200"/>
      <w:jc w:val="both"/>
    </w:pPr>
    <w:rPr>
      <w:rFonts w:ascii="Times New Roman" w:hAnsi="Times New Roman" w:eastAsia="仿宋_GB2312"/>
      <w:sz w:val="28"/>
    </w:rPr>
  </w:style>
  <w:style w:type="paragraph" w:customStyle="1" w:styleId="37">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color w:val="376092" w:themeColor="accent1" w:themeShade="BF"/>
      <w:kern w:val="0"/>
      <w:szCs w:val="28"/>
    </w:rPr>
  </w:style>
  <w:style w:type="character" w:customStyle="1" w:styleId="38">
    <w:name w:val="批注框文本 Char"/>
    <w:basedOn w:val="15"/>
    <w:link w:val="9"/>
    <w:semiHidden/>
    <w:uiPriority w:val="99"/>
    <w:rPr>
      <w:rFonts w:ascii="Tahoma" w:hAnsi="Tahoma"/>
      <w:sz w:val="18"/>
      <w:szCs w:val="18"/>
    </w:rPr>
  </w:style>
  <w:style w:type="character" w:customStyle="1" w:styleId="39">
    <w:name w:val="脚注文本 Char"/>
    <w:basedOn w:val="15"/>
    <w:link w:val="13"/>
    <w:semiHidden/>
    <w:qFormat/>
    <w:uiPriority w:val="99"/>
    <w:rPr>
      <w:rFonts w:ascii="Tahoma" w:hAnsi="Tahoma"/>
      <w:sz w:val="18"/>
      <w:szCs w:val="18"/>
    </w:rPr>
  </w:style>
  <w:style w:type="character" w:customStyle="1" w:styleId="40">
    <w:name w:val="尾注文本 Char"/>
    <w:basedOn w:val="15"/>
    <w:link w:val="8"/>
    <w:semiHidden/>
    <w:qFormat/>
    <w:uiPriority w:val="99"/>
    <w:rPr>
      <w:rFonts w:ascii="Tahoma" w:hAnsi="Tahoma"/>
    </w:rPr>
  </w:style>
  <w:style w:type="paragraph" w:styleId="41">
    <w:name w:val="List Paragraph"/>
    <w:basedOn w:val="1"/>
    <w:qFormat/>
    <w:uiPriority w:val="34"/>
    <w:pPr>
      <w:ind w:firstLine="420" w:firstLineChars="200"/>
    </w:pPr>
  </w:style>
  <w:style w:type="character" w:customStyle="1" w:styleId="42">
    <w:name w:val="批注文字 Char"/>
    <w:basedOn w:val="15"/>
    <w:link w:val="6"/>
    <w:semiHidden/>
    <w:qFormat/>
    <w:uiPriority w:val="99"/>
    <w:rPr>
      <w:rFonts w:ascii="Tahoma" w:hAnsi="Tahoma"/>
    </w:rPr>
  </w:style>
  <w:style w:type="character" w:customStyle="1" w:styleId="43">
    <w:name w:val="批注主题 Char"/>
    <w:basedOn w:val="42"/>
    <w:link w:val="5"/>
    <w:semiHidden/>
    <w:qFormat/>
    <w:uiPriority w:val="99"/>
    <w:rPr>
      <w:rFonts w:ascii="Tahoma" w:hAnsi="Tahoma"/>
      <w:b/>
      <w:bCs/>
    </w:rPr>
  </w:style>
  <w:style w:type="paragraph" w:customStyle="1" w:styleId="44">
    <w:name w:val="_Style 161"/>
    <w:basedOn w:val="1"/>
    <w:next w:val="1"/>
    <w:unhideWhenUsed/>
    <w:qFormat/>
    <w:uiPriority w:val="39"/>
    <w:pPr>
      <w:widowControl w:val="0"/>
      <w:adjustRightInd/>
      <w:snapToGrid/>
      <w:spacing w:before="120" w:after="120" w:line="560" w:lineRule="exact"/>
      <w:ind w:firstLine="200" w:firstLineChars="200"/>
    </w:pPr>
    <w:rPr>
      <w:rFonts w:ascii="Calibri" w:hAnsi="Calibri" w:eastAsia="仿宋" w:cs="Times New Roman"/>
      <w:b/>
      <w:bCs/>
      <w:caps/>
      <w:kern w:val="2"/>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DE7707-6E99-49C7-874B-82BFCDBC4BA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10</Pages>
  <Words>1018</Words>
  <Characters>5805</Characters>
  <Lines>48</Lines>
  <Paragraphs>13</Paragraphs>
  <TotalTime>29</TotalTime>
  <ScaleCrop>false</ScaleCrop>
  <LinksUpToDate>false</LinksUpToDate>
  <CharactersWithSpaces>6810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2020-12-02T02:25:00Z</dcterms:created>
  <dc:creator>Administrator</dc:creator>
  <cp:lastModifiedBy>Administrator</cp:lastModifiedBy>
  <cp:lastPrinted>2020-11-30T00:05:00Z</cp:lastPrinted>
  <dcterms:modified xsi:type="dcterms:W3CDTF">2020-12-04T02:55:17Z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