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_GBK" w:eastAsia="方正小标宋_GBK"/>
          <w:color w:val="auto"/>
          <w:sz w:val="44"/>
          <w:szCs w:val="44"/>
          <w:lang w:val="en-US" w:eastAsia="zh-CN"/>
        </w:rPr>
      </w:pPr>
      <w:r>
        <w:rPr>
          <w:rFonts w:hint="eastAsia" w:ascii="方正小标宋_GBK" w:eastAsia="方正小标宋_GBK"/>
          <w:color w:val="auto"/>
          <w:sz w:val="44"/>
          <w:szCs w:val="44"/>
          <w:lang w:val="en-US" w:eastAsia="zh-CN"/>
        </w:rPr>
        <w:t>青岛市即墨区大信街道2020年</w:t>
      </w:r>
    </w:p>
    <w:p>
      <w:pPr>
        <w:snapToGrid w:val="0"/>
        <w:spacing w:line="56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政府</w:t>
      </w:r>
      <w:r>
        <w:rPr>
          <w:rFonts w:hint="eastAsia" w:ascii="方正小标宋_GBK" w:eastAsia="方正小标宋_GBK"/>
          <w:color w:val="auto"/>
          <w:sz w:val="44"/>
          <w:szCs w:val="44"/>
        </w:rPr>
        <w:t>信息公开工作年度报告</w:t>
      </w:r>
    </w:p>
    <w:p>
      <w:pPr>
        <w:snapToGrid w:val="0"/>
        <w:spacing w:line="560" w:lineRule="exact"/>
        <w:jc w:val="left"/>
        <w:rPr>
          <w:rFonts w:hint="eastAsia" w:ascii="仿宋_GB2312" w:eastAsia="仿宋_GB2312"/>
          <w:color w:val="auto"/>
          <w:sz w:val="32"/>
          <w:szCs w:val="32"/>
        </w:rPr>
      </w:pPr>
    </w:p>
    <w:p>
      <w:pPr>
        <w:snapToGrid w:val="0"/>
        <w:spacing w:line="560" w:lineRule="exact"/>
        <w:jc w:val="left"/>
        <w:rPr>
          <w:rFonts w:hint="eastAsia" w:ascii="黑体" w:hAnsi="黑体" w:eastAsia="黑体"/>
          <w:color w:val="auto"/>
          <w:sz w:val="32"/>
          <w:szCs w:val="32"/>
        </w:rPr>
      </w:pPr>
      <w:r>
        <w:rPr>
          <w:rFonts w:hint="eastAsia" w:ascii="黑体" w:hAnsi="黑体" w:eastAsia="黑体"/>
          <w:color w:val="auto"/>
          <w:sz w:val="32"/>
          <w:szCs w:val="32"/>
        </w:rPr>
        <w:t>　　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2020年以来，大信街道</w:t>
      </w:r>
      <w:r>
        <w:rPr>
          <w:rFonts w:hint="eastAsia" w:ascii="仿宋_GB2312" w:hAnsi="仿宋_GB2312" w:eastAsia="仿宋_GB2312" w:cs="仿宋_GB2312"/>
          <w:i w:val="0"/>
          <w:color w:val="auto"/>
          <w:sz w:val="32"/>
          <w:szCs w:val="32"/>
        </w:rPr>
        <w:t>以习近平新时代中国特色社会主义思想</w:t>
      </w:r>
      <w:r>
        <w:rPr>
          <w:rFonts w:hint="eastAsia" w:ascii="仿宋_GB2312" w:hAnsi="仿宋_GB2312" w:eastAsia="仿宋_GB2312" w:cs="仿宋_GB2312"/>
          <w:i w:val="0"/>
          <w:color w:val="auto"/>
          <w:sz w:val="32"/>
          <w:szCs w:val="32"/>
          <w:lang w:eastAsia="zh-CN"/>
        </w:rPr>
        <w:t>为指导</w:t>
      </w:r>
      <w:r>
        <w:rPr>
          <w:rFonts w:hint="eastAsia" w:ascii="仿宋_GB2312" w:hAnsi="仿宋_GB2312" w:eastAsia="仿宋_GB2312" w:cs="仿宋_GB2312"/>
          <w:i w:val="0"/>
          <w:color w:val="auto"/>
          <w:sz w:val="32"/>
          <w:szCs w:val="32"/>
        </w:rPr>
        <w:t>，</w:t>
      </w:r>
      <w:r>
        <w:rPr>
          <w:rFonts w:hint="eastAsia" w:ascii="仿宋_GB2312" w:hAnsi="仿宋_GB2312" w:eastAsia="仿宋_GB2312" w:cs="仿宋_GB2312"/>
          <w:i w:val="0"/>
          <w:color w:val="auto"/>
          <w:sz w:val="32"/>
          <w:szCs w:val="32"/>
          <w:lang w:eastAsia="zh-CN"/>
        </w:rPr>
        <w:t>深入贯彻</w:t>
      </w:r>
      <w:r>
        <w:rPr>
          <w:rFonts w:hint="eastAsia" w:ascii="仿宋_GB2312" w:hAnsi="仿宋_GB2312" w:eastAsia="仿宋_GB2312" w:cs="仿宋_GB2312"/>
          <w:i w:val="0"/>
          <w:color w:val="auto"/>
          <w:sz w:val="32"/>
          <w:szCs w:val="32"/>
        </w:rPr>
        <w:t>落实党中央、国务院关于全面推进政务公开工作的决策部署，坚持统筹兼顾、突出重点，丰富内容、创新形式，强化解读、回应关切，注重时效、优化服务，健全机制、规范管理，不断提升政务公开的质量和实效</w:t>
      </w:r>
      <w:r>
        <w:rPr>
          <w:rFonts w:hint="eastAsia" w:ascii="仿宋_GB2312" w:hAnsi="仿宋_GB2312" w:eastAsia="仿宋_GB2312" w:cs="仿宋_GB2312"/>
          <w:i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促进了街道经济发展和社会稳定，取得了良好的成绩。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主动公开情况。2020年通过政务网站公开公文法规及政策解读文件22条，工作信息及办公会议等信息70条，通过信息查阅点、政府信息公开栏以及微信公众号、官方微博等新媒体形式，主动公开政府信息共计6大类231余条。同时，在</w:t>
      </w:r>
      <w:r>
        <w:rPr>
          <w:rFonts w:hint="eastAsia" w:ascii="仿宋_GB2312" w:hAnsi="仿宋_GB2312" w:eastAsia="仿宋_GB2312" w:cs="仿宋_GB2312"/>
          <w:i w:val="0"/>
          <w:caps w:val="0"/>
          <w:color w:val="auto"/>
          <w:spacing w:val="0"/>
          <w:sz w:val="32"/>
          <w:szCs w:val="32"/>
          <w:shd w:val="clear" w:color="auto" w:fill="FFFFFF"/>
          <w:lang w:eastAsia="zh-CN"/>
        </w:rPr>
        <w:t>党群服务中心设立政务公开专区，增设政务服务综合自助终端，</w:t>
      </w:r>
      <w:r>
        <w:rPr>
          <w:rFonts w:hint="eastAsia" w:ascii="仿宋_GB2312" w:hAnsi="仿宋_GB2312" w:eastAsia="仿宋_GB2312" w:cs="仿宋_GB2312"/>
          <w:i w:val="0"/>
          <w:caps w:val="0"/>
          <w:color w:val="auto"/>
          <w:spacing w:val="0"/>
          <w:sz w:val="32"/>
          <w:szCs w:val="32"/>
          <w:shd w:val="clear" w:color="auto" w:fill="FFFFFF"/>
          <w:lang w:val="en-US" w:eastAsia="zh-CN"/>
        </w:rPr>
        <w:t>触摸查询一体机</w:t>
      </w:r>
      <w:r>
        <w:rPr>
          <w:rFonts w:hint="eastAsia" w:ascii="仿宋_GB2312" w:hAnsi="仿宋_GB2312" w:eastAsia="仿宋_GB2312" w:cs="仿宋_GB2312"/>
          <w:i w:val="0"/>
          <w:caps w:val="0"/>
          <w:color w:val="auto"/>
          <w:spacing w:val="0"/>
          <w:sz w:val="32"/>
          <w:szCs w:val="32"/>
          <w:shd w:val="clear" w:color="auto" w:fill="FFFFFF"/>
          <w:lang w:eastAsia="zh-CN"/>
        </w:rPr>
        <w:t>，方便群众查阅信息；</w:t>
      </w:r>
      <w:r>
        <w:rPr>
          <w:rFonts w:hint="eastAsia" w:ascii="仿宋_GB2312" w:hAnsi="仿宋_GB2312" w:eastAsia="仿宋_GB2312" w:cs="仿宋_GB2312"/>
          <w:sz w:val="32"/>
          <w:szCs w:val="32"/>
        </w:rPr>
        <w:t>举办“政府开放日”活动</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rPr>
        <w:t>，邀请</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政协委员、企业代表、市民代表、</w:t>
      </w:r>
      <w:r>
        <w:rPr>
          <w:rFonts w:hint="eastAsia" w:ascii="仿宋_GB2312" w:hAnsi="仿宋_GB2312" w:eastAsia="仿宋_GB2312" w:cs="仿宋_GB2312"/>
          <w:sz w:val="32"/>
          <w:szCs w:val="32"/>
          <w:lang w:eastAsia="zh-CN"/>
        </w:rPr>
        <w:t>村庄社会治理网格员</w:t>
      </w:r>
      <w:r>
        <w:rPr>
          <w:rFonts w:hint="eastAsia" w:ascii="仿宋_GB2312" w:hAnsi="仿宋_GB2312" w:eastAsia="仿宋_GB2312" w:cs="仿宋_GB2312"/>
          <w:sz w:val="32"/>
          <w:szCs w:val="32"/>
        </w:rPr>
        <w:t>等社会各界人士参加观摩体验和座谈交流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进一步搭建起政府与群众沟通的桥梁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（二）依申请公开情况。继续明确了申请受理政府信息各环节的工作内容和时间期限，自2020年1月1日起，共收到27条政府信息公开申请要求，全部按时完成依申请公开的答复工作。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（三）政府信息管理情况。2020年参加区政府组织的政府信息公开专题工作会议2次，由街道分管领导组织召开街道专题培训会议3次，</w:t>
      </w:r>
      <w:r>
        <w:rPr>
          <w:rFonts w:hint="eastAsia" w:ascii="仿宋_GB2312" w:hAnsi="仿宋_GB2312" w:eastAsia="仿宋_GB2312" w:cs="仿宋_GB2312"/>
          <w:i w:val="0"/>
          <w:caps w:val="0"/>
          <w:color w:val="auto"/>
          <w:spacing w:val="0"/>
          <w:sz w:val="32"/>
          <w:szCs w:val="32"/>
          <w:shd w:val="clear" w:color="auto" w:fill="FFFFFF"/>
          <w:lang w:eastAsia="zh-CN"/>
        </w:rPr>
        <w:t>集中学习新《条例》的变化内容，紧扣省第三方评估指标体系，制订问题整改清单和完善提升清单</w:t>
      </w:r>
      <w:r>
        <w:rPr>
          <w:rFonts w:hint="eastAsia" w:ascii="仿宋_GB2312" w:hAnsi="仿宋_GB2312" w:eastAsia="仿宋_GB2312" w:cs="仿宋_GB2312"/>
          <w:color w:val="auto"/>
          <w:sz w:val="32"/>
          <w:szCs w:val="32"/>
          <w:lang w:eastAsia="zh-CN"/>
        </w:rPr>
        <w:t>，补齐短板、缩小差距</w:t>
      </w:r>
      <w:r>
        <w:rPr>
          <w:rFonts w:hint="eastAsia" w:ascii="仿宋_GB2312" w:hAnsi="仿宋_GB2312" w:eastAsia="仿宋_GB2312" w:cs="仿宋_GB2312"/>
          <w:b w:val="0"/>
          <w:bCs w:val="0"/>
          <w:color w:val="auto"/>
          <w:sz w:val="32"/>
          <w:szCs w:val="32"/>
          <w:lang w:val="en-US" w:eastAsia="zh-CN"/>
        </w:rPr>
        <w:t>；重大决策能够广泛听取干部职工意见，经街道党工委、办事处研究后及时公开，对于重大事项按照要求进行上墙公开，并设立投诉邮箱，公开投诉电话。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平台建设情况。一是积极创新公开渠道，优先选用信息化手段，在街道政务网站、官方微信等平台安排专人定期发布信息；二是在各社区成立10个村级便民服务站点，提供政策宣传、办事咨询等各种便利化服务，使政务公开更接近民众；三是通过直通联办政务专线电话等，实行限期办理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监督保障情况。政府信息公开工作能够严格遵循“全面、及时、准确、规范”的原则，妥善处理公开与保密的关系，合理界定信息公开范围，既防止出现因公开不当导致失密、泄密的问题，又确保群众的知情权和监督权。充分发挥社会监督的作用，通过热线电话和入户走访等形式，广泛听取各方面的意见和要求，确保政府信息公开内容的真实性、全面性和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（六）人大代表建议和政协委员提案办理结果公开情况。2020年收到人大代表建议1条，政协委员提案1条，已按时办理完成，并及时公开。</w:t>
      </w:r>
    </w:p>
    <w:p>
      <w:pPr>
        <w:snapToGrid w:val="0"/>
        <w:spacing w:line="560" w:lineRule="exact"/>
        <w:jc w:val="left"/>
        <w:rPr>
          <w:rFonts w:hint="eastAsia" w:ascii="黑体" w:hAnsi="黑体" w:eastAsia="黑体"/>
          <w:color w:val="auto"/>
          <w:sz w:val="32"/>
          <w:szCs w:val="32"/>
        </w:rPr>
      </w:pPr>
      <w:r>
        <w:rPr>
          <w:rFonts w:hint="eastAsia" w:ascii="黑体" w:hAnsi="黑体" w:eastAsia="黑体"/>
          <w:color w:val="auto"/>
          <w:sz w:val="32"/>
          <w:szCs w:val="32"/>
        </w:rPr>
        <w:t xml:space="preserve">    二、主动公开政府信息情况</w:t>
      </w:r>
    </w:p>
    <w:p>
      <w:pPr>
        <w:snapToGrid w:val="0"/>
        <w:spacing w:line="220" w:lineRule="exact"/>
        <w:jc w:val="left"/>
        <w:rPr>
          <w:rFonts w:hint="eastAsia" w:ascii="黑体" w:hAnsi="黑体" w:eastAsia="黑体"/>
          <w:color w:val="auto"/>
          <w:sz w:val="16"/>
          <w:szCs w:val="16"/>
        </w:rPr>
      </w:pPr>
    </w:p>
    <w:tbl>
      <w:tblPr>
        <w:tblStyle w:val="6"/>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0"/>
        <w:gridCol w:w="2098"/>
        <w:gridCol w:w="2133"/>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9039" w:type="dxa"/>
            <w:gridSpan w:val="4"/>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本年新制作数量</w:t>
            </w:r>
          </w:p>
        </w:tc>
        <w:tc>
          <w:tcPr>
            <w:tcW w:w="2133" w:type="dxa"/>
            <w:noWrap w:val="0"/>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本年新公开数量</w:t>
            </w:r>
          </w:p>
        </w:tc>
        <w:tc>
          <w:tcPr>
            <w:tcW w:w="2268"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规章</w:t>
            </w:r>
          </w:p>
          <w:p>
            <w:pPr>
              <w:jc w:val="center"/>
              <w:rPr>
                <w:rFonts w:hint="eastAsia" w:ascii="黑体" w:hAnsi="黑体" w:eastAsia="黑体"/>
                <w:color w:val="auto"/>
                <w:sz w:val="22"/>
                <w:szCs w:val="22"/>
              </w:rPr>
            </w:pPr>
            <w:r>
              <w:rPr>
                <w:rFonts w:hint="eastAsia" w:ascii="黑体" w:hAnsi="黑体" w:eastAsia="黑体"/>
                <w:color w:val="auto"/>
                <w:sz w:val="22"/>
                <w:szCs w:val="22"/>
              </w:rPr>
              <w:t>（市政府令）</w:t>
            </w:r>
          </w:p>
        </w:tc>
        <w:tc>
          <w:tcPr>
            <w:tcW w:w="209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0"/>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规范性文件</w:t>
            </w:r>
          </w:p>
          <w:p>
            <w:pPr>
              <w:jc w:val="center"/>
              <w:rPr>
                <w:rFonts w:hint="eastAsia" w:ascii="黑体" w:hAnsi="黑体" w:eastAsia="黑体"/>
                <w:color w:val="auto"/>
                <w:sz w:val="22"/>
                <w:szCs w:val="22"/>
              </w:rPr>
            </w:pPr>
            <w:r>
              <w:rPr>
                <w:rFonts w:hint="eastAsia" w:ascii="黑体" w:hAnsi="黑体" w:eastAsia="黑体"/>
                <w:color w:val="auto"/>
                <w:sz w:val="22"/>
                <w:szCs w:val="22"/>
              </w:rPr>
              <w:t>（有规范性文件登记号）</w:t>
            </w:r>
          </w:p>
        </w:tc>
        <w:tc>
          <w:tcPr>
            <w:tcW w:w="2098" w:type="dxa"/>
            <w:noWrap/>
            <w:vAlign w:val="center"/>
          </w:tcPr>
          <w:p>
            <w:pPr>
              <w:jc w:val="center"/>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0"/>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jc w:val="center"/>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039" w:type="dxa"/>
            <w:gridSpan w:val="4"/>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上一年项目数量</w:t>
            </w:r>
          </w:p>
        </w:tc>
        <w:tc>
          <w:tcPr>
            <w:tcW w:w="2133" w:type="dxa"/>
            <w:noWrap w:val="0"/>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本年增/减</w:t>
            </w:r>
          </w:p>
        </w:tc>
        <w:tc>
          <w:tcPr>
            <w:tcW w:w="2268"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行政许可</w:t>
            </w:r>
          </w:p>
        </w:tc>
        <w:tc>
          <w:tcPr>
            <w:tcW w:w="209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其他对外管理服务事项</w:t>
            </w:r>
          </w:p>
        </w:tc>
        <w:tc>
          <w:tcPr>
            <w:tcW w:w="209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039" w:type="dxa"/>
            <w:gridSpan w:val="4"/>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上一年项目数量</w:t>
            </w:r>
          </w:p>
        </w:tc>
        <w:tc>
          <w:tcPr>
            <w:tcW w:w="2133" w:type="dxa"/>
            <w:noWrap w:val="0"/>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本年增/减</w:t>
            </w:r>
          </w:p>
        </w:tc>
        <w:tc>
          <w:tcPr>
            <w:tcW w:w="2268"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行政处罚</w:t>
            </w:r>
          </w:p>
        </w:tc>
        <w:tc>
          <w:tcPr>
            <w:tcW w:w="209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行政强制</w:t>
            </w:r>
          </w:p>
        </w:tc>
        <w:tc>
          <w:tcPr>
            <w:tcW w:w="209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039" w:type="dxa"/>
            <w:gridSpan w:val="4"/>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上一年项目数量</w:t>
            </w:r>
          </w:p>
        </w:tc>
        <w:tc>
          <w:tcPr>
            <w:tcW w:w="4401" w:type="dxa"/>
            <w:gridSpan w:val="2"/>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本年增/减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行政事业性收费</w:t>
            </w:r>
          </w:p>
        </w:tc>
        <w:tc>
          <w:tcPr>
            <w:tcW w:w="2098" w:type="dxa"/>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4401" w:type="dxa"/>
            <w:gridSpan w:val="2"/>
            <w:noWrap/>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039" w:type="dxa"/>
            <w:gridSpan w:val="4"/>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采购项目数量</w:t>
            </w:r>
          </w:p>
        </w:tc>
        <w:tc>
          <w:tcPr>
            <w:tcW w:w="4401" w:type="dxa"/>
            <w:gridSpan w:val="2"/>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540" w:type="dxa"/>
            <w:noWrap/>
            <w:vAlign w:val="center"/>
          </w:tcPr>
          <w:p>
            <w:pPr>
              <w:jc w:val="center"/>
              <w:rPr>
                <w:rFonts w:hint="eastAsia" w:ascii="黑体" w:hAnsi="黑体" w:eastAsia="黑体"/>
                <w:color w:val="auto"/>
                <w:sz w:val="22"/>
                <w:szCs w:val="22"/>
              </w:rPr>
            </w:pPr>
            <w:r>
              <w:rPr>
                <w:rFonts w:hint="eastAsia" w:ascii="黑体" w:hAnsi="黑体" w:eastAsia="黑体"/>
                <w:color w:val="auto"/>
                <w:sz w:val="22"/>
                <w:szCs w:val="22"/>
              </w:rPr>
              <w:t>政府集中采购</w:t>
            </w:r>
          </w:p>
        </w:tc>
        <w:tc>
          <w:tcPr>
            <w:tcW w:w="2098" w:type="dxa"/>
            <w:noWrap/>
            <w:vAlign w:val="center"/>
          </w:tcPr>
          <w:p>
            <w:pPr>
              <w:jc w:val="center"/>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55</w:t>
            </w:r>
          </w:p>
        </w:tc>
        <w:tc>
          <w:tcPr>
            <w:tcW w:w="4401" w:type="dxa"/>
            <w:gridSpan w:val="2"/>
            <w:noWrap/>
            <w:vAlign w:val="center"/>
          </w:tcPr>
          <w:p>
            <w:pPr>
              <w:jc w:val="center"/>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198.9343万元</w:t>
            </w:r>
          </w:p>
        </w:tc>
      </w:tr>
    </w:tbl>
    <w:p>
      <w:pPr>
        <w:snapToGrid w:val="0"/>
        <w:spacing w:line="560" w:lineRule="exact"/>
        <w:jc w:val="left"/>
        <w:rPr>
          <w:rFonts w:hint="eastAsia" w:ascii="黑体" w:hAnsi="黑体" w:eastAsia="黑体"/>
          <w:color w:val="auto"/>
          <w:sz w:val="32"/>
          <w:szCs w:val="32"/>
        </w:rPr>
      </w:pPr>
      <w:r>
        <w:rPr>
          <w:rFonts w:hint="eastAsia" w:ascii="黑体" w:hAnsi="黑体" w:eastAsia="黑体"/>
          <w:color w:val="auto"/>
          <w:sz w:val="32"/>
          <w:szCs w:val="32"/>
        </w:rPr>
        <w:t>　　三、收到和处理政府信息公开申请情况</w:t>
      </w:r>
    </w:p>
    <w:tbl>
      <w:tblPr>
        <w:tblStyle w:val="6"/>
        <w:tblpPr w:leftFromText="180" w:rightFromText="180" w:vertAnchor="text" w:horzAnchor="page" w:tblpX="1570" w:tblpY="203"/>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6"/>
        <w:gridCol w:w="876"/>
        <w:gridCol w:w="2063"/>
        <w:gridCol w:w="807"/>
        <w:gridCol w:w="750"/>
        <w:gridCol w:w="750"/>
        <w:gridCol w:w="807"/>
        <w:gridCol w:w="965"/>
        <w:gridCol w:w="707"/>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595"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（本列数据的勾稽关系为：第一项加第二项之和，等于第三项加第四项之和）</w:t>
            </w:r>
          </w:p>
        </w:tc>
        <w:tc>
          <w:tcPr>
            <w:tcW w:w="5476" w:type="dxa"/>
            <w:gridSpan w:val="7"/>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59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07" w:type="dxa"/>
            <w:vMerge w:val="restart"/>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自然人</w:t>
            </w:r>
          </w:p>
        </w:tc>
        <w:tc>
          <w:tcPr>
            <w:tcW w:w="397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法人或其他组织</w:t>
            </w:r>
          </w:p>
        </w:tc>
        <w:tc>
          <w:tcPr>
            <w:tcW w:w="69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59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07"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rPr>
                <w:rFonts w:ascii="黑体" w:hAnsi="黑体" w:eastAsia="黑体"/>
                <w:color w:val="auto"/>
                <w:sz w:val="22"/>
                <w:szCs w:val="22"/>
              </w:rPr>
            </w:pPr>
          </w:p>
        </w:tc>
        <w:tc>
          <w:tcPr>
            <w:tcW w:w="750" w:type="dxa"/>
            <w:tcBorders>
              <w:top w:val="nil"/>
              <w:left w:val="nil"/>
              <w:bottom w:val="single" w:color="auto" w:sz="4" w:space="0"/>
              <w:right w:val="single" w:color="auto" w:sz="8"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商业企业</w:t>
            </w:r>
          </w:p>
        </w:tc>
        <w:tc>
          <w:tcPr>
            <w:tcW w:w="750" w:type="dxa"/>
            <w:tcBorders>
              <w:top w:val="nil"/>
              <w:left w:val="nil"/>
              <w:bottom w:val="single" w:color="auto" w:sz="4" w:space="0"/>
              <w:right w:val="single" w:color="auto" w:sz="8"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科研机构</w:t>
            </w:r>
          </w:p>
        </w:tc>
        <w:tc>
          <w:tcPr>
            <w:tcW w:w="807" w:type="dxa"/>
            <w:tcBorders>
              <w:top w:val="single" w:color="auto" w:sz="8" w:space="0"/>
              <w:left w:val="nil"/>
              <w:bottom w:val="single" w:color="auto" w:sz="4" w:space="0"/>
              <w:right w:val="single" w:color="auto" w:sz="8"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社会公益组织</w:t>
            </w:r>
          </w:p>
        </w:tc>
        <w:tc>
          <w:tcPr>
            <w:tcW w:w="965" w:type="dxa"/>
            <w:tcBorders>
              <w:top w:val="single" w:color="auto" w:sz="8" w:space="0"/>
              <w:left w:val="nil"/>
              <w:bottom w:val="single" w:color="auto" w:sz="4" w:space="0"/>
              <w:right w:val="single" w:color="auto" w:sz="8"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法律服务机构</w:t>
            </w:r>
          </w:p>
        </w:tc>
        <w:tc>
          <w:tcPr>
            <w:tcW w:w="707" w:type="dxa"/>
            <w:tcBorders>
              <w:top w:val="single" w:color="auto" w:sz="8" w:space="0"/>
              <w:left w:val="nil"/>
              <w:bottom w:val="single" w:color="auto" w:sz="4" w:space="0"/>
              <w:right w:val="single" w:color="auto" w:sz="8"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其他</w:t>
            </w:r>
          </w:p>
        </w:tc>
        <w:tc>
          <w:tcPr>
            <w:tcW w:w="690" w:type="dxa"/>
            <w:vMerge w:val="continue"/>
            <w:tcBorders>
              <w:top w:val="single" w:color="auto" w:sz="8" w:space="0"/>
              <w:left w:val="nil"/>
              <w:bottom w:val="single" w:color="auto" w:sz="4" w:space="0"/>
              <w:right w:val="single" w:color="auto" w:sz="8" w:space="0"/>
            </w:tcBorders>
            <w:noWrap w:val="0"/>
            <w:tcMar>
              <w:left w:w="108" w:type="dxa"/>
              <w:right w:w="108" w:type="dxa"/>
            </w:tcMar>
            <w:vAlign w:val="center"/>
          </w:tcPr>
          <w:p>
            <w:pPr>
              <w:rPr>
                <w:rFonts w:ascii="黑体" w:hAnsi="黑体" w:eastAsia="黑体"/>
                <w:color w:val="auto"/>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4" w:hRule="atLeast"/>
        </w:trPr>
        <w:tc>
          <w:tcPr>
            <w:tcW w:w="3595"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一、本年新收政府信息公开申请数量</w:t>
            </w:r>
          </w:p>
        </w:tc>
        <w:tc>
          <w:tcPr>
            <w:tcW w:w="807"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jc w:val="center"/>
              <w:rPr>
                <w:rFonts w:hint="default" w:ascii="黑体" w:hAnsi="黑体" w:eastAsia="黑体"/>
                <w:color w:val="auto"/>
                <w:sz w:val="22"/>
                <w:szCs w:val="22"/>
                <w:lang w:val="en-US" w:eastAsia="zh-CN"/>
              </w:rPr>
            </w:pPr>
            <w:r>
              <w:rPr>
                <w:rFonts w:hint="eastAsia" w:eastAsia="黑体"/>
                <w:color w:val="auto"/>
                <w:sz w:val="22"/>
                <w:szCs w:val="22"/>
                <w:lang w:val="en-US" w:eastAsia="zh-CN"/>
              </w:rPr>
              <w:t>27</w:t>
            </w:r>
          </w:p>
        </w:tc>
        <w:tc>
          <w:tcPr>
            <w:tcW w:w="750" w:type="dxa"/>
            <w:tcBorders>
              <w:top w:val="single" w:color="auto" w:sz="4" w:space="0"/>
              <w:left w:val="nil"/>
              <w:bottom w:val="single" w:color="auto" w:sz="4"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single" w:color="auto" w:sz="4" w:space="0"/>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807" w:type="dxa"/>
            <w:tcBorders>
              <w:top w:val="single" w:color="auto" w:sz="4" w:space="0"/>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965" w:type="dxa"/>
            <w:tcBorders>
              <w:top w:val="single" w:color="auto" w:sz="4" w:space="0"/>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707" w:type="dxa"/>
            <w:tcBorders>
              <w:top w:val="single" w:color="auto" w:sz="4" w:space="0"/>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690" w:type="dxa"/>
            <w:tcBorders>
              <w:top w:val="single" w:color="auto" w:sz="4" w:space="0"/>
              <w:left w:val="nil"/>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olor w:val="auto"/>
                <w:sz w:val="22"/>
                <w:szCs w:val="22"/>
                <w:lang w:val="en-US" w:eastAsia="zh-CN"/>
              </w:rPr>
            </w:pPr>
            <w:r>
              <w:rPr>
                <w:rFonts w:hint="eastAsia" w:eastAsia="黑体"/>
                <w:color w:val="auto"/>
                <w:sz w:val="22"/>
                <w:szCs w:val="22"/>
                <w:lang w:val="en-US" w:eastAsia="zh-CN"/>
              </w:rPr>
              <w:t>27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595"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二、上年结转政府信息公开申请数量</w:t>
            </w:r>
          </w:p>
        </w:tc>
        <w:tc>
          <w:tcPr>
            <w:tcW w:w="807" w:type="dxa"/>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single" w:color="auto" w:sz="4" w:space="0"/>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single" w:color="auto" w:sz="4" w:space="0"/>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807" w:type="dxa"/>
            <w:tcBorders>
              <w:top w:val="single" w:color="auto" w:sz="4" w:space="0"/>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965" w:type="dxa"/>
            <w:tcBorders>
              <w:top w:val="single" w:color="auto" w:sz="4"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707" w:type="dxa"/>
            <w:tcBorders>
              <w:top w:val="single" w:color="auto" w:sz="4" w:space="0"/>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90" w:type="dxa"/>
            <w:tcBorders>
              <w:top w:val="single" w:color="auto" w:sz="4" w:space="0"/>
              <w:left w:val="nil"/>
              <w:bottom w:val="single" w:color="auto" w:sz="8" w:space="0"/>
              <w:right w:val="single" w:color="auto" w:sz="8" w:space="0"/>
            </w:tcBorders>
            <w:noWrap w:val="0"/>
            <w:tcMar>
              <w:left w:w="108" w:type="dxa"/>
              <w:right w:w="108" w:type="dxa"/>
            </w:tcMar>
            <w:vAlign w:val="center"/>
          </w:tcPr>
          <w:p>
            <w:pPr>
              <w:jc w:val="center"/>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三、本年度办理结果</w:t>
            </w:r>
          </w:p>
        </w:tc>
        <w:tc>
          <w:tcPr>
            <w:tcW w:w="293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ascii="黑体" w:hAnsi="黑体" w:eastAsia="黑体"/>
                <w:color w:val="auto"/>
                <w:sz w:val="22"/>
                <w:szCs w:val="22"/>
              </w:rPr>
              <w:t>（一）予以公开</w:t>
            </w:r>
          </w:p>
        </w:tc>
        <w:tc>
          <w:tcPr>
            <w:tcW w:w="807" w:type="dxa"/>
            <w:tcBorders>
              <w:top w:val="nil"/>
              <w:left w:val="single" w:color="auto" w:sz="4"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c>
          <w:tcPr>
            <w:tcW w:w="690"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93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（二）部分公开（区分处理的，只计这一情形，不计其他情形）</w:t>
            </w:r>
          </w:p>
        </w:tc>
        <w:tc>
          <w:tcPr>
            <w:tcW w:w="807" w:type="dxa"/>
            <w:tcBorders>
              <w:top w:val="nil"/>
              <w:left w:val="single" w:color="auto" w:sz="4"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（三）不予公开</w:t>
            </w: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1.属于国家秘密</w:t>
            </w:r>
          </w:p>
        </w:tc>
        <w:tc>
          <w:tcPr>
            <w:tcW w:w="807" w:type="dxa"/>
            <w:tcBorders>
              <w:top w:val="nil"/>
              <w:left w:val="single" w:color="auto" w:sz="4"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2.其他法律行政法规禁止公开</w:t>
            </w:r>
          </w:p>
        </w:tc>
        <w:tc>
          <w:tcPr>
            <w:tcW w:w="807" w:type="dxa"/>
            <w:tcBorders>
              <w:top w:val="nil"/>
              <w:left w:val="single" w:color="auto" w:sz="4"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3.危及“三安全一稳定”</w:t>
            </w:r>
          </w:p>
        </w:tc>
        <w:tc>
          <w:tcPr>
            <w:tcW w:w="807" w:type="dxa"/>
            <w:tcBorders>
              <w:top w:val="nil"/>
              <w:left w:val="single" w:color="auto" w:sz="4"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4.保护第三方合法权益</w:t>
            </w:r>
          </w:p>
        </w:tc>
        <w:tc>
          <w:tcPr>
            <w:tcW w:w="807" w:type="dxa"/>
            <w:tcBorders>
              <w:top w:val="nil"/>
              <w:left w:val="single" w:color="auto" w:sz="4"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5.属于三类内部事务信息</w:t>
            </w:r>
          </w:p>
        </w:tc>
        <w:tc>
          <w:tcPr>
            <w:tcW w:w="807" w:type="dxa"/>
            <w:tcBorders>
              <w:top w:val="nil"/>
              <w:left w:val="single" w:color="auto" w:sz="4" w:space="0"/>
              <w:bottom w:val="single" w:color="auto" w:sz="4"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1</w:t>
            </w:r>
          </w:p>
        </w:tc>
        <w:tc>
          <w:tcPr>
            <w:tcW w:w="750" w:type="dxa"/>
            <w:tcBorders>
              <w:top w:val="nil"/>
              <w:left w:val="nil"/>
              <w:bottom w:val="single" w:color="auto" w:sz="4" w:space="0"/>
              <w:right w:val="single" w:color="auto" w:sz="8"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nil"/>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nil"/>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nil"/>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nil"/>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nil"/>
              <w:left w:val="nil"/>
              <w:bottom w:val="single" w:color="auto" w:sz="4" w:space="0"/>
              <w:right w:val="single" w:color="auto" w:sz="8"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6.属于四类过程性信息</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7.属于行政执法案卷</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1</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8.属于行政查询事项</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（四）无法提供</w:t>
            </w: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1.本机关不掌握相关政府信息</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olor w:val="auto"/>
                <w:sz w:val="22"/>
                <w:szCs w:val="22"/>
                <w:lang w:val="en-US" w:eastAsia="zh-CN"/>
              </w:rPr>
            </w:pPr>
            <w:r>
              <w:rPr>
                <w:rFonts w:hint="eastAsia" w:eastAsia="黑体"/>
                <w:color w:val="auto"/>
                <w:sz w:val="22"/>
                <w:szCs w:val="22"/>
                <w:lang w:val="en-US" w:eastAsia="zh-CN"/>
              </w:rPr>
              <w:t>12</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2.没有现成信息需要另行制作</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3.补正后申请内容仍不明确</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（五）不予处理</w:t>
            </w: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1.信访举报投诉类申请</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2.重复申请</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7</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3.要求提供公开出版物</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4.无正当理由大量反复申请</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0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5.要求行政机关确认或重新出具已获取信息</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93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（六）其他处理</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6</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p>
        </w:tc>
        <w:tc>
          <w:tcPr>
            <w:tcW w:w="293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（七）总计</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olor w:val="auto"/>
                <w:sz w:val="22"/>
                <w:szCs w:val="22"/>
                <w:lang w:val="en-US" w:eastAsia="zh-CN"/>
              </w:rPr>
            </w:pPr>
            <w:r>
              <w:rPr>
                <w:rFonts w:hint="eastAsia" w:eastAsia="黑体"/>
                <w:color w:val="auto"/>
                <w:sz w:val="22"/>
                <w:szCs w:val="22"/>
                <w:lang w:val="en-US" w:eastAsia="zh-CN"/>
              </w:rPr>
              <w:t>27</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default"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27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595"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ascii="黑体" w:hAnsi="黑体" w:eastAsia="黑体"/>
                <w:color w:val="auto"/>
                <w:sz w:val="22"/>
                <w:szCs w:val="22"/>
              </w:rPr>
            </w:pPr>
            <w:r>
              <w:rPr>
                <w:rFonts w:hint="eastAsia" w:ascii="黑体" w:hAnsi="黑体" w:eastAsia="黑体"/>
                <w:color w:val="auto"/>
                <w:sz w:val="22"/>
                <w:szCs w:val="22"/>
              </w:rPr>
              <w:t>四、结转下年度继续办理</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9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7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ascii="黑体" w:hAnsi="黑体" w:eastAsia="黑体" w:cs="Times New Roman"/>
                <w:color w:val="auto"/>
                <w:kern w:val="2"/>
                <w:sz w:val="22"/>
                <w:szCs w:val="22"/>
                <w:lang w:val="en-US" w:eastAsia="zh-CN" w:bidi="ar-SA"/>
              </w:rPr>
            </w:pPr>
            <w:r>
              <w:rPr>
                <w:rFonts w:hint="eastAsia" w:eastAsia="黑体"/>
                <w:color w:val="auto"/>
                <w:sz w:val="22"/>
                <w:szCs w:val="22"/>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bl>
    <w:p>
      <w:pPr>
        <w:snapToGrid w:val="0"/>
        <w:spacing w:line="220" w:lineRule="exact"/>
        <w:jc w:val="left"/>
        <w:rPr>
          <w:rFonts w:ascii="黑体" w:hAnsi="黑体" w:eastAsia="黑体"/>
          <w:color w:val="auto"/>
          <w:sz w:val="32"/>
          <w:szCs w:val="32"/>
        </w:rPr>
      </w:pPr>
    </w:p>
    <w:p>
      <w:pPr>
        <w:snapToGrid w:val="0"/>
        <w:spacing w:line="420" w:lineRule="exact"/>
        <w:jc w:val="left"/>
        <w:rPr>
          <w:rFonts w:hint="eastAsia" w:ascii="仿宋_GB2312" w:hAnsi="宋体" w:eastAsia="仿宋_GB2312" w:cs="宋体"/>
          <w:color w:val="auto"/>
          <w:kern w:val="0"/>
          <w:sz w:val="22"/>
          <w:szCs w:val="22"/>
          <w:shd w:val="clear" w:color="auto" w:fill="FFFFFF"/>
        </w:rPr>
      </w:pPr>
      <w:r>
        <w:rPr>
          <w:rFonts w:hint="eastAsia" w:ascii="仿宋_GB2312" w:hAnsi="宋体" w:eastAsia="仿宋_GB2312" w:cs="宋体"/>
          <w:color w:val="auto"/>
          <w:kern w:val="0"/>
          <w:sz w:val="22"/>
          <w:szCs w:val="22"/>
          <w:shd w:val="clear" w:color="auto" w:fill="FFFFFF"/>
        </w:rPr>
        <w:t>　　注：“其他处理”项目，主要是考虑新旧条例执行衔接以及极少数特殊情况。原则上，所有的政府信息公开申请，都应当按照法定的处理方式做出处理。</w:t>
      </w:r>
    </w:p>
    <w:p>
      <w:pPr>
        <w:snapToGrid w:val="0"/>
        <w:spacing w:line="560" w:lineRule="exact"/>
        <w:jc w:val="left"/>
        <w:rPr>
          <w:rFonts w:hint="eastAsia" w:ascii="黑体" w:hAnsi="黑体" w:eastAsia="黑体"/>
          <w:color w:val="auto"/>
          <w:sz w:val="32"/>
          <w:szCs w:val="32"/>
        </w:rPr>
      </w:pPr>
      <w:r>
        <w:rPr>
          <w:rFonts w:hint="eastAsia" w:ascii="黑体" w:hAnsi="黑体" w:eastAsia="黑体"/>
          <w:color w:val="auto"/>
          <w:sz w:val="32"/>
          <w:szCs w:val="32"/>
        </w:rPr>
        <w:t xml:space="preserve">    四、政府信息公开行政复议、行政诉讼情况</w:t>
      </w:r>
    </w:p>
    <w:p>
      <w:pPr>
        <w:snapToGrid w:val="0"/>
        <w:spacing w:line="220" w:lineRule="exact"/>
        <w:jc w:val="left"/>
        <w:rPr>
          <w:rFonts w:ascii="黑体" w:hAnsi="黑体" w:eastAsia="黑体"/>
          <w:color w:val="auto"/>
          <w:sz w:val="32"/>
          <w:szCs w:val="32"/>
        </w:rPr>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2"/>
                <w:szCs w:val="22"/>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2"/>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2"/>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2"/>
                <w:szCs w:val="22"/>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2"/>
                <w:szCs w:val="22"/>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color w:val="auto"/>
                <w:sz w:val="22"/>
                <w:szCs w:val="22"/>
              </w:rPr>
            </w:pPr>
            <w:r>
              <w:rPr>
                <w:rFonts w:hint="eastAsia" w:ascii="黑体" w:hAnsi="黑体" w:eastAsia="黑体"/>
                <w:color w:val="auto"/>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7</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2</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9</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bl>
    <w:p>
      <w:pPr>
        <w:pStyle w:val="5"/>
        <w:widowControl/>
        <w:shd w:val="clear" w:color="auto" w:fill="FFFFFF"/>
        <w:spacing w:beforeAutospacing="0" w:afterAutospacing="0"/>
        <w:jc w:val="both"/>
        <w:rPr>
          <w:rFonts w:hint="eastAsia" w:ascii="仿宋_GB2312" w:hAnsi="宋体" w:eastAsia="仿宋_GB2312" w:cs="宋体"/>
          <w:color w:val="auto"/>
          <w:sz w:val="22"/>
          <w:szCs w:val="22"/>
          <w:shd w:val="clear" w:color="auto" w:fill="FFFFFF"/>
        </w:rPr>
      </w:pPr>
      <w:r>
        <w:rPr>
          <w:rFonts w:hint="eastAsia" w:ascii="仿宋_GB2312" w:hAnsi="宋体" w:eastAsia="仿宋_GB2312" w:cs="宋体"/>
          <w:color w:val="auto"/>
          <w:kern w:val="2"/>
          <w:sz w:val="20"/>
          <w:szCs w:val="20"/>
        </w:rPr>
        <w:t xml:space="preserve">    </w:t>
      </w:r>
      <w:r>
        <w:rPr>
          <w:rFonts w:hint="eastAsia" w:ascii="仿宋_GB2312" w:hAnsi="宋体" w:eastAsia="仿宋_GB2312" w:cs="宋体"/>
          <w:color w:val="auto"/>
          <w:sz w:val="22"/>
          <w:szCs w:val="22"/>
          <w:shd w:val="clear" w:color="auto" w:fill="FFFFFF"/>
        </w:rPr>
        <w:t>注：行政复议机关作为共同被告的行政诉讼案件，只计算原行为主体的案件数量，不计算行政复议机关的案件数量。</w:t>
      </w:r>
    </w:p>
    <w:p>
      <w:pPr>
        <w:pStyle w:val="5"/>
        <w:widowControl/>
        <w:shd w:val="clear" w:color="auto" w:fill="FFFFFF"/>
        <w:spacing w:beforeAutospacing="0" w:afterAutospacing="0" w:line="560" w:lineRule="exact"/>
        <w:jc w:val="both"/>
        <w:rPr>
          <w:rFonts w:ascii="宋体" w:hAnsi="宋体" w:cs="宋体"/>
          <w:b/>
          <w:color w:val="auto"/>
          <w:shd w:val="clear" w:color="auto" w:fill="FFFFFF"/>
        </w:rPr>
      </w:pPr>
      <w:r>
        <w:rPr>
          <w:rFonts w:hint="eastAsia" w:ascii="黑体" w:hAnsi="黑体" w:eastAsia="黑体"/>
          <w:color w:val="auto"/>
          <w:sz w:val="32"/>
          <w:szCs w:val="32"/>
        </w:rPr>
        <w:t>　　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2020年政府信息公开工作方面存在的问题和不足有：一是个别栏目信息发布率较低，行政权力运行公开专栏，重大决策预公开意见征集与结果反馈事项较少，执行公开年度重点工作条目较少；二是</w:t>
      </w:r>
      <w:r>
        <w:rPr>
          <w:rFonts w:hint="eastAsia" w:ascii="仿宋_GB2312" w:hAnsi="仿宋_GB2312" w:eastAsia="仿宋_GB2312" w:cs="仿宋_GB2312"/>
          <w:color w:val="auto"/>
          <w:sz w:val="32"/>
          <w:szCs w:val="40"/>
          <w:lang w:val="en-US" w:eastAsia="zh-CN"/>
        </w:rPr>
        <w:t>政策解读内容少、形式单一，个别政策文件与解读文件未相互关联，重点领域信息公开镇街财政预决算栏目部分内容发布形式不规范，未按照上级文件要求的统一格式发布；</w:t>
      </w:r>
      <w:r>
        <w:rPr>
          <w:rFonts w:hint="eastAsia" w:ascii="仿宋_GB2312" w:hAnsi="仿宋_GB2312" w:eastAsia="仿宋_GB2312" w:cs="仿宋_GB2312"/>
          <w:color w:val="auto"/>
          <w:sz w:val="32"/>
          <w:szCs w:val="32"/>
          <w:lang w:val="en-US" w:eastAsia="zh-CN"/>
        </w:rPr>
        <w:t>三是政府信息主动公开意识还需进一步强化,政府信息公开的深度和广度有待进一步拓展，仍需进一步学习其他先进单位政务网站建设的先进经验。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针对目前存在的问题和短板，街道高度重视，制定改进措施如下：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楷体_GB2312" w:hAnsi="楷体_GB2312" w:eastAsia="楷体_GB2312" w:cs="楷体_GB2312"/>
          <w:i w:val="0"/>
          <w:caps w:val="0"/>
          <w:color w:val="auto"/>
          <w:spacing w:val="0"/>
          <w:sz w:val="32"/>
          <w:szCs w:val="32"/>
          <w:shd w:val="clear" w:color="auto" w:fill="FFFFFF"/>
        </w:rPr>
        <w:t>一是强化组织领导，健全组织体系。</w:t>
      </w:r>
      <w:r>
        <w:rPr>
          <w:rFonts w:hint="eastAsia" w:ascii="仿宋_GB2312" w:hAnsi="仿宋_GB2312" w:eastAsia="仿宋_GB2312" w:cs="仿宋_GB2312"/>
          <w:i w:val="0"/>
          <w:caps w:val="0"/>
          <w:color w:val="auto"/>
          <w:spacing w:val="0"/>
          <w:sz w:val="32"/>
          <w:szCs w:val="32"/>
          <w:shd w:val="clear" w:color="auto" w:fill="FFFFFF"/>
        </w:rPr>
        <w:t>成立以</w:t>
      </w:r>
      <w:r>
        <w:rPr>
          <w:rFonts w:hint="eastAsia" w:ascii="仿宋_GB2312" w:hAnsi="仿宋_GB2312" w:eastAsia="仿宋_GB2312" w:cs="仿宋_GB2312"/>
          <w:i w:val="0"/>
          <w:caps w:val="0"/>
          <w:color w:val="auto"/>
          <w:spacing w:val="0"/>
          <w:sz w:val="32"/>
          <w:szCs w:val="32"/>
          <w:shd w:val="clear" w:color="auto" w:fill="FFFFFF"/>
          <w:lang w:eastAsia="zh-CN"/>
        </w:rPr>
        <w:t>党工委</w:t>
      </w:r>
      <w:r>
        <w:rPr>
          <w:rFonts w:hint="eastAsia" w:ascii="仿宋_GB2312" w:hAnsi="仿宋_GB2312" w:eastAsia="仿宋_GB2312" w:cs="仿宋_GB2312"/>
          <w:i w:val="0"/>
          <w:caps w:val="0"/>
          <w:color w:val="auto"/>
          <w:spacing w:val="0"/>
          <w:sz w:val="32"/>
          <w:szCs w:val="32"/>
          <w:shd w:val="clear" w:color="auto" w:fill="FFFFFF"/>
        </w:rPr>
        <w:t>主要负责同志为组长的信息公开领导小组，制定详细的政务信息公开流程，安排专人负责政务公开工作的更新维护，做到责任落实到岗，工作落实到人，保障政务公开工作顺利开展。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楷体_GB2312" w:hAnsi="楷体_GB2312" w:eastAsia="楷体_GB2312" w:cs="楷体_GB2312"/>
          <w:i w:val="0"/>
          <w:caps w:val="0"/>
          <w:color w:val="auto"/>
          <w:spacing w:val="0"/>
          <w:sz w:val="32"/>
          <w:szCs w:val="32"/>
          <w:shd w:val="clear" w:color="auto" w:fill="FFFFFF"/>
          <w:lang w:eastAsia="zh-CN"/>
        </w:rPr>
        <w:t>二是</w:t>
      </w:r>
      <w:r>
        <w:rPr>
          <w:rFonts w:hint="eastAsia" w:ascii="楷体_GB2312" w:hAnsi="楷体_GB2312" w:eastAsia="楷体_GB2312" w:cs="楷体_GB2312"/>
          <w:i w:val="0"/>
          <w:caps w:val="0"/>
          <w:color w:val="auto"/>
          <w:spacing w:val="0"/>
          <w:sz w:val="32"/>
          <w:szCs w:val="32"/>
          <w:shd w:val="clear" w:color="auto" w:fill="FFFFFF"/>
        </w:rPr>
        <w:t>规范公开内容，提高信息质量</w:t>
      </w:r>
      <w:r>
        <w:rPr>
          <w:rFonts w:hint="eastAsia" w:ascii="楷体_GB2312" w:hAnsi="楷体_GB2312" w:eastAsia="楷体_GB2312" w:cs="楷体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召开专题工作会议，对政务信息公开的范围、内容、形式、制度等进一步明确</w:t>
      </w:r>
      <w:r>
        <w:rPr>
          <w:rFonts w:hint="eastAsia" w:ascii="仿宋_GB2312" w:hAnsi="仿宋_GB2312" w:eastAsia="仿宋_GB2312" w:cs="仿宋_GB2312"/>
          <w:i w:val="0"/>
          <w:caps w:val="0"/>
          <w:color w:val="auto"/>
          <w:spacing w:val="0"/>
          <w:sz w:val="32"/>
          <w:szCs w:val="32"/>
          <w:shd w:val="clear" w:color="auto" w:fill="FFFFFF"/>
          <w:lang w:eastAsia="zh-CN"/>
        </w:rPr>
        <w:t>规范</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通过丰富政策解读形式，增加政策图解比例，采用适合基层群众喜闻乐见的形式等来宣传政策，所有信息严格执行“先审后发”制度，做到把关严格、公开规范。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楷体_GB2312" w:hAnsi="楷体_GB2312" w:eastAsia="楷体_GB2312" w:cs="楷体_GB2312"/>
          <w:i w:val="0"/>
          <w:caps w:val="0"/>
          <w:color w:val="auto"/>
          <w:spacing w:val="0"/>
          <w:sz w:val="32"/>
          <w:szCs w:val="32"/>
          <w:shd w:val="clear" w:color="auto" w:fill="FFFFFF"/>
          <w:lang w:eastAsia="zh-CN"/>
        </w:rPr>
        <w:t>三是抓住重点领域，确保工作实效。</w:t>
      </w:r>
      <w:r>
        <w:rPr>
          <w:rFonts w:hint="eastAsia" w:ascii="仿宋_GB2312" w:hAnsi="仿宋_GB2312" w:eastAsia="仿宋_GB2312" w:cs="仿宋_GB2312"/>
          <w:i w:val="0"/>
          <w:caps w:val="0"/>
          <w:color w:val="auto"/>
          <w:spacing w:val="0"/>
          <w:sz w:val="32"/>
          <w:szCs w:val="32"/>
          <w:shd w:val="clear" w:color="auto" w:fill="FFFFFF"/>
          <w:lang w:eastAsia="zh-CN"/>
        </w:rPr>
        <w:t>及时与涉及信息公开的各部门对接各项工作开展、推进和落实情况，严格按照大信街道政府信息主动公开目录规范的公开时限要求更新相关信息，坚持把群众最关心的问题和时事热点问题作为重点公开事项，及时主动回应。</w:t>
      </w:r>
    </w:p>
    <w:p>
      <w:pPr>
        <w:pStyle w:val="5"/>
        <w:widowControl/>
        <w:shd w:val="clear" w:color="auto" w:fill="FFFFFF"/>
        <w:spacing w:beforeAutospacing="0" w:afterAutospacing="0" w:line="560" w:lineRule="exact"/>
        <w:jc w:val="both"/>
        <w:rPr>
          <w:rFonts w:ascii="仿宋_GB2312" w:hAnsi="黑体" w:eastAsia="仿宋_GB2312"/>
          <w:color w:val="auto"/>
          <w:kern w:val="2"/>
          <w:sz w:val="32"/>
          <w:szCs w:val="32"/>
        </w:rPr>
      </w:pPr>
      <w:r>
        <w:rPr>
          <w:rFonts w:hint="eastAsia" w:ascii="仿宋_GB2312" w:hAnsi="黑体" w:eastAsia="仿宋_GB2312"/>
          <w:color w:val="auto"/>
          <w:kern w:val="2"/>
          <w:sz w:val="32"/>
          <w:szCs w:val="32"/>
        </w:rPr>
        <w:t>　　</w:t>
      </w:r>
      <w:r>
        <w:rPr>
          <w:rFonts w:hint="eastAsia" w:ascii="黑体" w:hAnsi="黑体" w:eastAsia="黑体"/>
          <w:color w:val="auto"/>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即墨区大信街道办事处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黑体" w:eastAsia="仿宋_GB2312"/>
          <w:color w:val="auto"/>
          <w:kern w:val="2"/>
          <w:sz w:val="32"/>
          <w:szCs w:val="32"/>
        </w:rPr>
      </w:pPr>
      <w:r>
        <w:rPr>
          <w:rFonts w:hint="eastAsia" w:ascii="仿宋_GB2312" w:hAnsi="仿宋_GB2312" w:eastAsia="仿宋_GB2312" w:cs="仿宋_GB2312"/>
          <w:color w:val="auto"/>
          <w:sz w:val="32"/>
          <w:szCs w:val="32"/>
          <w:lang w:val="en-US" w:eastAsia="zh-CN"/>
        </w:rPr>
        <w:t xml:space="preserve">                                2021年1月25日</w:t>
      </w:r>
    </w:p>
    <w:sectPr>
      <w:footerReference r:id="rId7" w:type="first"/>
      <w:headerReference r:id="rId3" w:type="default"/>
      <w:footerReference r:id="rId5" w:type="default"/>
      <w:headerReference r:id="rId4" w:type="even"/>
      <w:footerReference r:id="rId6" w:type="even"/>
      <w:pgSz w:w="11906" w:h="16838"/>
      <w:pgMar w:top="2098" w:right="1474" w:bottom="1984" w:left="1587" w:header="851" w:footer="1191"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71847"/>
    <w:rsid w:val="00C13A96"/>
    <w:rsid w:val="00CB109C"/>
    <w:rsid w:val="013D4210"/>
    <w:rsid w:val="0162150E"/>
    <w:rsid w:val="01AC7D12"/>
    <w:rsid w:val="01ED35B5"/>
    <w:rsid w:val="02141E6C"/>
    <w:rsid w:val="028A1336"/>
    <w:rsid w:val="028F1A73"/>
    <w:rsid w:val="02D4781E"/>
    <w:rsid w:val="03944FDA"/>
    <w:rsid w:val="05042025"/>
    <w:rsid w:val="05137AEF"/>
    <w:rsid w:val="060645AD"/>
    <w:rsid w:val="06413484"/>
    <w:rsid w:val="06966C4C"/>
    <w:rsid w:val="069A139F"/>
    <w:rsid w:val="069A51C2"/>
    <w:rsid w:val="071F2956"/>
    <w:rsid w:val="077B6E86"/>
    <w:rsid w:val="07A40683"/>
    <w:rsid w:val="07D108E6"/>
    <w:rsid w:val="07EE2B87"/>
    <w:rsid w:val="08103E73"/>
    <w:rsid w:val="08756ABD"/>
    <w:rsid w:val="08B90872"/>
    <w:rsid w:val="094B08C4"/>
    <w:rsid w:val="09793C32"/>
    <w:rsid w:val="09D01104"/>
    <w:rsid w:val="0A6467FD"/>
    <w:rsid w:val="0ACB19CA"/>
    <w:rsid w:val="0B2D073C"/>
    <w:rsid w:val="0B3B6363"/>
    <w:rsid w:val="0BE37961"/>
    <w:rsid w:val="0C1B5F8E"/>
    <w:rsid w:val="0C432032"/>
    <w:rsid w:val="0C7346F8"/>
    <w:rsid w:val="0CEB0E0E"/>
    <w:rsid w:val="0D4118C1"/>
    <w:rsid w:val="0D503A89"/>
    <w:rsid w:val="0D53024C"/>
    <w:rsid w:val="0D7A0A10"/>
    <w:rsid w:val="0DCC56A5"/>
    <w:rsid w:val="0E707252"/>
    <w:rsid w:val="0EC83276"/>
    <w:rsid w:val="0F0F6B41"/>
    <w:rsid w:val="0F105489"/>
    <w:rsid w:val="0F4025DC"/>
    <w:rsid w:val="0FC14BAE"/>
    <w:rsid w:val="101259CE"/>
    <w:rsid w:val="104A0148"/>
    <w:rsid w:val="106A72DA"/>
    <w:rsid w:val="11301133"/>
    <w:rsid w:val="11604967"/>
    <w:rsid w:val="11D2169D"/>
    <w:rsid w:val="11E40DEA"/>
    <w:rsid w:val="12013DEA"/>
    <w:rsid w:val="1290577C"/>
    <w:rsid w:val="130C35F3"/>
    <w:rsid w:val="130E750D"/>
    <w:rsid w:val="13255F5F"/>
    <w:rsid w:val="13A54AC6"/>
    <w:rsid w:val="13F77D37"/>
    <w:rsid w:val="13FF58FE"/>
    <w:rsid w:val="14A27F95"/>
    <w:rsid w:val="14CC3D2C"/>
    <w:rsid w:val="14D037A3"/>
    <w:rsid w:val="14E34AA7"/>
    <w:rsid w:val="155F1A94"/>
    <w:rsid w:val="15897773"/>
    <w:rsid w:val="15AA3055"/>
    <w:rsid w:val="16020B71"/>
    <w:rsid w:val="167873D0"/>
    <w:rsid w:val="16DF5F68"/>
    <w:rsid w:val="16EE37B0"/>
    <w:rsid w:val="17222716"/>
    <w:rsid w:val="19220237"/>
    <w:rsid w:val="19354F7D"/>
    <w:rsid w:val="1942742E"/>
    <w:rsid w:val="19BB2369"/>
    <w:rsid w:val="1C1D0A9A"/>
    <w:rsid w:val="1C2115EC"/>
    <w:rsid w:val="1CCA786E"/>
    <w:rsid w:val="1CF77982"/>
    <w:rsid w:val="1DA757EB"/>
    <w:rsid w:val="1DBD1DC2"/>
    <w:rsid w:val="1F930B35"/>
    <w:rsid w:val="1FA41433"/>
    <w:rsid w:val="1FB148E7"/>
    <w:rsid w:val="1FF61538"/>
    <w:rsid w:val="20972C20"/>
    <w:rsid w:val="211A2370"/>
    <w:rsid w:val="21201810"/>
    <w:rsid w:val="21305B95"/>
    <w:rsid w:val="21727596"/>
    <w:rsid w:val="219F18F0"/>
    <w:rsid w:val="21D72021"/>
    <w:rsid w:val="21E732D3"/>
    <w:rsid w:val="21E75370"/>
    <w:rsid w:val="237301EF"/>
    <w:rsid w:val="23E50812"/>
    <w:rsid w:val="23EB1A64"/>
    <w:rsid w:val="24271847"/>
    <w:rsid w:val="24450E65"/>
    <w:rsid w:val="250676B6"/>
    <w:rsid w:val="252635C1"/>
    <w:rsid w:val="253F6329"/>
    <w:rsid w:val="255B249E"/>
    <w:rsid w:val="25735871"/>
    <w:rsid w:val="25B17501"/>
    <w:rsid w:val="25F47ECD"/>
    <w:rsid w:val="25FD2473"/>
    <w:rsid w:val="26176A8B"/>
    <w:rsid w:val="2629559A"/>
    <w:rsid w:val="268D2163"/>
    <w:rsid w:val="277A2607"/>
    <w:rsid w:val="28150116"/>
    <w:rsid w:val="28433C38"/>
    <w:rsid w:val="287B2300"/>
    <w:rsid w:val="287B6218"/>
    <w:rsid w:val="287F52D8"/>
    <w:rsid w:val="29072B1E"/>
    <w:rsid w:val="299A216A"/>
    <w:rsid w:val="29C85B81"/>
    <w:rsid w:val="2A686A33"/>
    <w:rsid w:val="2ABD6FED"/>
    <w:rsid w:val="2AEE7F49"/>
    <w:rsid w:val="2AF03328"/>
    <w:rsid w:val="2B1815D2"/>
    <w:rsid w:val="2C656079"/>
    <w:rsid w:val="2C92230E"/>
    <w:rsid w:val="2D116859"/>
    <w:rsid w:val="2D1B260B"/>
    <w:rsid w:val="2D8E74BA"/>
    <w:rsid w:val="2DED47C4"/>
    <w:rsid w:val="2E672DCE"/>
    <w:rsid w:val="2E6D4A68"/>
    <w:rsid w:val="2E8459C6"/>
    <w:rsid w:val="2F0B0F22"/>
    <w:rsid w:val="30233D4F"/>
    <w:rsid w:val="30CC1F70"/>
    <w:rsid w:val="30E03420"/>
    <w:rsid w:val="30ED3F1D"/>
    <w:rsid w:val="31206EEE"/>
    <w:rsid w:val="318312A2"/>
    <w:rsid w:val="31DE7F69"/>
    <w:rsid w:val="31FA386C"/>
    <w:rsid w:val="32AF7F81"/>
    <w:rsid w:val="32C4510B"/>
    <w:rsid w:val="32C61C35"/>
    <w:rsid w:val="32E1732D"/>
    <w:rsid w:val="32FE3602"/>
    <w:rsid w:val="332E47A0"/>
    <w:rsid w:val="333D7649"/>
    <w:rsid w:val="33E77BE6"/>
    <w:rsid w:val="344F1B67"/>
    <w:rsid w:val="345D252B"/>
    <w:rsid w:val="346D01E6"/>
    <w:rsid w:val="35115388"/>
    <w:rsid w:val="35835C13"/>
    <w:rsid w:val="35E2126E"/>
    <w:rsid w:val="36770F16"/>
    <w:rsid w:val="369A122A"/>
    <w:rsid w:val="37445691"/>
    <w:rsid w:val="375614AA"/>
    <w:rsid w:val="37BB3F81"/>
    <w:rsid w:val="38067BA7"/>
    <w:rsid w:val="38080E6E"/>
    <w:rsid w:val="380E5220"/>
    <w:rsid w:val="389C5502"/>
    <w:rsid w:val="38A80C5C"/>
    <w:rsid w:val="38C15743"/>
    <w:rsid w:val="38F245A0"/>
    <w:rsid w:val="38F66A0E"/>
    <w:rsid w:val="3950185A"/>
    <w:rsid w:val="3983630E"/>
    <w:rsid w:val="399B4FBB"/>
    <w:rsid w:val="3A2C0658"/>
    <w:rsid w:val="3A5E1506"/>
    <w:rsid w:val="3A9822E6"/>
    <w:rsid w:val="3AA753EC"/>
    <w:rsid w:val="3ACF0B9C"/>
    <w:rsid w:val="3C621E36"/>
    <w:rsid w:val="3C8C04BC"/>
    <w:rsid w:val="3CD8675E"/>
    <w:rsid w:val="3CFC43EA"/>
    <w:rsid w:val="3D4D4936"/>
    <w:rsid w:val="3DAC709F"/>
    <w:rsid w:val="3DB84176"/>
    <w:rsid w:val="3DF62524"/>
    <w:rsid w:val="3E117045"/>
    <w:rsid w:val="3E7428E0"/>
    <w:rsid w:val="3E7C1CF4"/>
    <w:rsid w:val="3E861833"/>
    <w:rsid w:val="3EA36D19"/>
    <w:rsid w:val="3ECB32A6"/>
    <w:rsid w:val="3EE31798"/>
    <w:rsid w:val="3EEE27E7"/>
    <w:rsid w:val="3FBA767E"/>
    <w:rsid w:val="4029316C"/>
    <w:rsid w:val="405146F8"/>
    <w:rsid w:val="40875229"/>
    <w:rsid w:val="408E7FC8"/>
    <w:rsid w:val="40F27FFD"/>
    <w:rsid w:val="411A4C10"/>
    <w:rsid w:val="411C30F7"/>
    <w:rsid w:val="417F5EA9"/>
    <w:rsid w:val="4190514D"/>
    <w:rsid w:val="421A4577"/>
    <w:rsid w:val="42232100"/>
    <w:rsid w:val="424C7586"/>
    <w:rsid w:val="42761F31"/>
    <w:rsid w:val="42A31F84"/>
    <w:rsid w:val="42CF1A7B"/>
    <w:rsid w:val="42D075B6"/>
    <w:rsid w:val="42DC6C10"/>
    <w:rsid w:val="43501F21"/>
    <w:rsid w:val="4374413A"/>
    <w:rsid w:val="437E6E81"/>
    <w:rsid w:val="43834F0F"/>
    <w:rsid w:val="43906D88"/>
    <w:rsid w:val="43A34E25"/>
    <w:rsid w:val="43A534A8"/>
    <w:rsid w:val="43C75F05"/>
    <w:rsid w:val="44A43E96"/>
    <w:rsid w:val="458C0E16"/>
    <w:rsid w:val="45BC4424"/>
    <w:rsid w:val="46760A82"/>
    <w:rsid w:val="474966A3"/>
    <w:rsid w:val="47EB2539"/>
    <w:rsid w:val="48951C62"/>
    <w:rsid w:val="48E94351"/>
    <w:rsid w:val="48F5171F"/>
    <w:rsid w:val="49391F67"/>
    <w:rsid w:val="49987FB0"/>
    <w:rsid w:val="49C04CF3"/>
    <w:rsid w:val="4A203FAA"/>
    <w:rsid w:val="4A57636B"/>
    <w:rsid w:val="4AAC1E7B"/>
    <w:rsid w:val="4AAC38F8"/>
    <w:rsid w:val="4B1B4CCF"/>
    <w:rsid w:val="4B671FA9"/>
    <w:rsid w:val="4B7E08E7"/>
    <w:rsid w:val="4B947E35"/>
    <w:rsid w:val="4BBE4F62"/>
    <w:rsid w:val="4BBF4A43"/>
    <w:rsid w:val="4BF1634C"/>
    <w:rsid w:val="4C1B0108"/>
    <w:rsid w:val="4C1C777F"/>
    <w:rsid w:val="4C6C7225"/>
    <w:rsid w:val="4C8C12EC"/>
    <w:rsid w:val="4C8D6A31"/>
    <w:rsid w:val="4C977DAC"/>
    <w:rsid w:val="4CFA3A90"/>
    <w:rsid w:val="4DA92B42"/>
    <w:rsid w:val="4E921217"/>
    <w:rsid w:val="4F16290C"/>
    <w:rsid w:val="4F21417C"/>
    <w:rsid w:val="4F4C3B6B"/>
    <w:rsid w:val="4F5D082C"/>
    <w:rsid w:val="4F5D103B"/>
    <w:rsid w:val="50157411"/>
    <w:rsid w:val="503F23B8"/>
    <w:rsid w:val="50DB0781"/>
    <w:rsid w:val="51696C95"/>
    <w:rsid w:val="51965C68"/>
    <w:rsid w:val="51B02AE6"/>
    <w:rsid w:val="52B82B22"/>
    <w:rsid w:val="53C8763E"/>
    <w:rsid w:val="54270181"/>
    <w:rsid w:val="54780646"/>
    <w:rsid w:val="548E6881"/>
    <w:rsid w:val="54B745A3"/>
    <w:rsid w:val="54ED6314"/>
    <w:rsid w:val="55613221"/>
    <w:rsid w:val="560B1048"/>
    <w:rsid w:val="570825F8"/>
    <w:rsid w:val="570963B8"/>
    <w:rsid w:val="57745C7F"/>
    <w:rsid w:val="5798056B"/>
    <w:rsid w:val="5816338C"/>
    <w:rsid w:val="582F0373"/>
    <w:rsid w:val="584A70DC"/>
    <w:rsid w:val="584B2913"/>
    <w:rsid w:val="586B6BF0"/>
    <w:rsid w:val="588264E5"/>
    <w:rsid w:val="58A3622E"/>
    <w:rsid w:val="58D43E62"/>
    <w:rsid w:val="59CB0296"/>
    <w:rsid w:val="5A763B19"/>
    <w:rsid w:val="5A7909EE"/>
    <w:rsid w:val="5B373830"/>
    <w:rsid w:val="5B7B5177"/>
    <w:rsid w:val="5BD57899"/>
    <w:rsid w:val="5BFA335F"/>
    <w:rsid w:val="5C1C736D"/>
    <w:rsid w:val="5C590931"/>
    <w:rsid w:val="5CA27F78"/>
    <w:rsid w:val="5CDE7C1B"/>
    <w:rsid w:val="5D226F90"/>
    <w:rsid w:val="5DE90904"/>
    <w:rsid w:val="5E1779EB"/>
    <w:rsid w:val="5E2E700F"/>
    <w:rsid w:val="5E647E51"/>
    <w:rsid w:val="5E66103C"/>
    <w:rsid w:val="5E6B0742"/>
    <w:rsid w:val="5EAF179F"/>
    <w:rsid w:val="5EB02446"/>
    <w:rsid w:val="5EB33D83"/>
    <w:rsid w:val="5ECB7AC0"/>
    <w:rsid w:val="5F1E207D"/>
    <w:rsid w:val="5FA01485"/>
    <w:rsid w:val="5FAA7E8C"/>
    <w:rsid w:val="5FFA3B6B"/>
    <w:rsid w:val="5FFD7474"/>
    <w:rsid w:val="602729AB"/>
    <w:rsid w:val="605B00CA"/>
    <w:rsid w:val="607F62C0"/>
    <w:rsid w:val="6086255C"/>
    <w:rsid w:val="60A96231"/>
    <w:rsid w:val="60C46B02"/>
    <w:rsid w:val="60ED3C25"/>
    <w:rsid w:val="617428B9"/>
    <w:rsid w:val="61E61FC7"/>
    <w:rsid w:val="61F73D73"/>
    <w:rsid w:val="623C4939"/>
    <w:rsid w:val="624D1EEB"/>
    <w:rsid w:val="62692080"/>
    <w:rsid w:val="62E61B87"/>
    <w:rsid w:val="62F12F83"/>
    <w:rsid w:val="62FE68A1"/>
    <w:rsid w:val="63882690"/>
    <w:rsid w:val="63C346DB"/>
    <w:rsid w:val="63F57935"/>
    <w:rsid w:val="64605F27"/>
    <w:rsid w:val="64623BB5"/>
    <w:rsid w:val="65B27853"/>
    <w:rsid w:val="66D675EE"/>
    <w:rsid w:val="673A6C28"/>
    <w:rsid w:val="674B43D0"/>
    <w:rsid w:val="67AD0026"/>
    <w:rsid w:val="68EB15B4"/>
    <w:rsid w:val="695D64D9"/>
    <w:rsid w:val="697B30E7"/>
    <w:rsid w:val="6A3477E5"/>
    <w:rsid w:val="6A355DB7"/>
    <w:rsid w:val="6AA522A9"/>
    <w:rsid w:val="6AA70238"/>
    <w:rsid w:val="6AE87DC1"/>
    <w:rsid w:val="6AF11620"/>
    <w:rsid w:val="6AF44BD7"/>
    <w:rsid w:val="6B7C626E"/>
    <w:rsid w:val="6BAD20FC"/>
    <w:rsid w:val="6BAD5AA8"/>
    <w:rsid w:val="6BE9685E"/>
    <w:rsid w:val="6BFD0DCB"/>
    <w:rsid w:val="6C1D79F3"/>
    <w:rsid w:val="6C3D2663"/>
    <w:rsid w:val="6C477C35"/>
    <w:rsid w:val="6C5B1C20"/>
    <w:rsid w:val="6CDC4BA2"/>
    <w:rsid w:val="6CE5630B"/>
    <w:rsid w:val="6D785198"/>
    <w:rsid w:val="6D7B1188"/>
    <w:rsid w:val="6EA81D1F"/>
    <w:rsid w:val="6EAB534F"/>
    <w:rsid w:val="6EB562F3"/>
    <w:rsid w:val="6F21311C"/>
    <w:rsid w:val="6F3E5921"/>
    <w:rsid w:val="6F5E79FA"/>
    <w:rsid w:val="6F620B3E"/>
    <w:rsid w:val="703C5229"/>
    <w:rsid w:val="70A569BB"/>
    <w:rsid w:val="70D22063"/>
    <w:rsid w:val="70DB34CF"/>
    <w:rsid w:val="70EE330D"/>
    <w:rsid w:val="71095A4E"/>
    <w:rsid w:val="715A3B43"/>
    <w:rsid w:val="715B5891"/>
    <w:rsid w:val="71730969"/>
    <w:rsid w:val="718B5CD6"/>
    <w:rsid w:val="71B657A8"/>
    <w:rsid w:val="71C54188"/>
    <w:rsid w:val="71C8765C"/>
    <w:rsid w:val="71E23D10"/>
    <w:rsid w:val="72143FCE"/>
    <w:rsid w:val="725F2E34"/>
    <w:rsid w:val="72BC471A"/>
    <w:rsid w:val="73044203"/>
    <w:rsid w:val="73510CFF"/>
    <w:rsid w:val="73BF4107"/>
    <w:rsid w:val="741866C9"/>
    <w:rsid w:val="743E0AEA"/>
    <w:rsid w:val="74576CDE"/>
    <w:rsid w:val="748F7FEC"/>
    <w:rsid w:val="752349EC"/>
    <w:rsid w:val="75421AF7"/>
    <w:rsid w:val="75477E37"/>
    <w:rsid w:val="75923D61"/>
    <w:rsid w:val="76990025"/>
    <w:rsid w:val="76A361A3"/>
    <w:rsid w:val="77150D91"/>
    <w:rsid w:val="77E41132"/>
    <w:rsid w:val="785B252C"/>
    <w:rsid w:val="78CC7266"/>
    <w:rsid w:val="78F035A3"/>
    <w:rsid w:val="79F67D87"/>
    <w:rsid w:val="7A264674"/>
    <w:rsid w:val="7A4126C3"/>
    <w:rsid w:val="7A53517D"/>
    <w:rsid w:val="7A5D5287"/>
    <w:rsid w:val="7ACC40C0"/>
    <w:rsid w:val="7AE027F4"/>
    <w:rsid w:val="7AEA19C7"/>
    <w:rsid w:val="7B112DED"/>
    <w:rsid w:val="7B125A74"/>
    <w:rsid w:val="7B6B35E5"/>
    <w:rsid w:val="7C433398"/>
    <w:rsid w:val="7C66550F"/>
    <w:rsid w:val="7C8307FA"/>
    <w:rsid w:val="7CFF4F73"/>
    <w:rsid w:val="7D185D93"/>
    <w:rsid w:val="7D4D37BB"/>
    <w:rsid w:val="7D6F583E"/>
    <w:rsid w:val="7D990C5C"/>
    <w:rsid w:val="7DA846F0"/>
    <w:rsid w:val="7DCE6FA0"/>
    <w:rsid w:val="7E405CE9"/>
    <w:rsid w:val="7EDD5AF8"/>
    <w:rsid w:val="7EFD7704"/>
    <w:rsid w:val="7FEF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市府办</Company>
  <Pages>1</Pages>
  <Words>0</Words>
  <Characters>0</Characters>
  <Lines>0</Lines>
  <Paragraphs>0</Paragraphs>
  <TotalTime>17</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2021-01-18T02:51:00Z</dcterms:created>
  <dc:creator>Administrator</dc:creator>
  <cp:lastModifiedBy>太阳谷</cp:lastModifiedBy>
  <cp:lastPrinted>2021-01-25T01:02:00Z</cp:lastPrinted>
  <dcterms:modified xsi:type="dcterms:W3CDTF">2021-11-16T02:01:48Z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