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before="240" w:after="180" w:line="560" w:lineRule="exact"/>
        <w:jc w:val="center"/>
        <w:outlineLvl w:val="1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《青岛市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即墨区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矿产资源总体规划（2021-2025年）》(征求意见稿)政策解读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ascii="黑体" w:hAnsi="黑体" w:eastAsia="黑体"/>
          <w:sz w:val="28"/>
          <w:szCs w:val="28"/>
        </w:rPr>
      </w:pP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一、规划背景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为加大重要矿产勘查、保护和开发力度，提高矿产资源保障能力，推进资源合理高效利用，推动矿业绿色发展，促进资源、环境和经济社会协调发展，根据《中华人民共和国矿产资源法》及其实施细则、《山东省矿产资源总体规划（2021-2025年）》、《青岛市矿产资源总体规划（2021-2025年）》和《青岛市即墨区国民经济和社会发展第十四个五年规划和2035年远景目标纲要》，按照《矿产资源规划编制实施办法》《自然资源部关于全面开展矿产资源规划（2021-2025年）编制工作的通知》《山东省自然资源厅关于全面开展矿产资源总体规划（2021-2025年）编制工作的通知》等相关要求，编制《青岛市即墨区矿产资源总体规划（2021-2025年）》（以下简称《规划》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《规划》是我区规划体系的重要组成部分，是指导我区矿产资源勘查、开发利用与保护的纲领性文件，是规范矿产资源开发秩序，依法审批和监督管理矿产资源勘查和开发利用活动的重要依据，是加强和改善矿产资源宏观调控的重要手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《规划》以2020年为基准年， 2021年至2025年为规划期，展望到2035年。《规划》适用于即墨区所辖行政区域。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楷体_GB2312" w:hAnsi="微软雅黑" w:eastAsia="楷体_GB2312"/>
          <w:sz w:val="28"/>
          <w:szCs w:val="28"/>
        </w:rPr>
      </w:pPr>
      <w:r>
        <w:rPr>
          <w:rFonts w:hint="eastAsia" w:ascii="楷体_GB2312" w:hAnsi="微软雅黑" w:eastAsia="楷体_GB2312"/>
          <w:sz w:val="28"/>
          <w:szCs w:val="28"/>
        </w:rPr>
        <w:t>（一）“十三五”工作成效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《青岛市矿产资源总体规划（2016-2020年）》实施以来，基础地质工作进一步加强；矿产资源勘查取得一定成果；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矿产开发总量调控与压缩矿业权数量</w:t>
      </w:r>
      <w:r>
        <w:rPr>
          <w:rFonts w:hint="eastAsia" w:ascii="仿宋_GB2312" w:eastAsia="仿宋_GB2312"/>
          <w:sz w:val="28"/>
          <w:szCs w:val="28"/>
        </w:rPr>
        <w:t>；矿山生态环境显著改善；；规划的主要指标基本完成。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楷体_GB2312" w:hAnsi="微软雅黑" w:eastAsia="楷体_GB2312"/>
          <w:sz w:val="28"/>
          <w:szCs w:val="28"/>
        </w:rPr>
      </w:pPr>
      <w:r>
        <w:rPr>
          <w:rFonts w:hint="eastAsia" w:ascii="楷体_GB2312" w:hAnsi="微软雅黑" w:eastAsia="楷体_GB2312"/>
          <w:sz w:val="28"/>
          <w:szCs w:val="28"/>
        </w:rPr>
        <w:t>（二）新形势与新要求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Times New Roman" w:eastAsia="仿宋_GB2312" w:cs="宋体"/>
          <w:kern w:val="2"/>
          <w:sz w:val="28"/>
          <w:szCs w:val="28"/>
          <w:lang w:val="en-US" w:eastAsia="zh-CN" w:bidi="ar"/>
        </w:rPr>
        <w:t>“十四五”时期，是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即墨区加快建设活力宜居幸福现代化新区、争当胶东经济圈一体化新引擎、打造青岛新发展格局重要增长极的关键时期。</w:t>
      </w:r>
      <w:r>
        <w:rPr>
          <w:rFonts w:hint="eastAsia" w:ascii="仿宋_GB2312" w:hAnsi="Times New Roman" w:eastAsia="仿宋_GB2312" w:cs="宋体"/>
          <w:kern w:val="2"/>
          <w:sz w:val="28"/>
          <w:szCs w:val="28"/>
          <w:lang w:val="en-US" w:eastAsia="zh-CN" w:bidi="ar"/>
        </w:rPr>
        <w:t>矿产勘查开发与保护布局，开发利用结构调整与转型升级，绿色矿山建设和矿区生态保护等方面又面临新的形势与要求。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《规划》提出了“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经济高质量发展要求进一步提高地质勘查程度和矿产资源供给能力</w:t>
      </w:r>
      <w:r>
        <w:rPr>
          <w:rFonts w:hint="eastAsia" w:ascii="仿宋_GB2312" w:hAnsi="微软雅黑" w:eastAsia="仿宋_GB2312"/>
          <w:sz w:val="28"/>
          <w:szCs w:val="28"/>
        </w:rPr>
        <w:t>”、“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新动能主导发展要求加快矿业结构调整与转型升级</w:t>
      </w:r>
      <w:r>
        <w:rPr>
          <w:rFonts w:hint="eastAsia" w:ascii="仿宋_GB2312" w:hAnsi="微软雅黑" w:eastAsia="仿宋_GB2312"/>
          <w:sz w:val="28"/>
          <w:szCs w:val="28"/>
        </w:rPr>
        <w:t>”、“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生态文明建设要求构建绿色矿业发展长效机制</w:t>
      </w:r>
      <w:r>
        <w:rPr>
          <w:rFonts w:hint="eastAsia" w:ascii="仿宋_GB2312" w:hAnsi="微软雅黑" w:eastAsia="仿宋_GB2312"/>
          <w:sz w:val="28"/>
          <w:szCs w:val="28"/>
        </w:rPr>
        <w:t>”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微软雅黑" w:eastAsia="仿宋_GB2312"/>
          <w:sz w:val="28"/>
          <w:szCs w:val="28"/>
        </w:rPr>
        <w:t>个方面的具体要求。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二、指导思想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_GB2312" w:eastAsia="仿宋_GB2312" w:cs="仿宋_GB2312"/>
          <w:bCs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以习近平新时代中国特色社会主义思想为指导，认真贯彻党的十九大和十九届二中、三中、四中、五中、六中全会精神，深入落实习近平总书记对山东、对青岛工作重要指示要求，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科学把握新发展阶段，全面贯彻新发展理念，深度融入新发展格局。落实生态文明建设总体要求、国家资源安全战略、节约优先战略和全面深化改革部署，结合即墨区实际，以矿业高质量绿色发展为主题，以矿产资源保护与合理利用为主线，以改革创新为动力，以保障经济社会发展需求为目标，深化矿产资源管理改革，科学调控矿产资源供给，全面提高资源利用效率，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为即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墨区主动融入青岛环湾都市区发展，加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快建设活力宜居幸福现代化新区，提供矿产资源基础。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三、基本原则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以科学开发、合理利用、保障经济、矿业绿色可持续发展为总原则，促进资源、环境和经济社会协调发展。坚持生态优先，开发与保护协调统一；坚持科学统筹，切实保障发展；坚持新发展理念，促进矿业高质量发展；坚持市场调节，深化“放管服”改革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四、规划主要内容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《规划》共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微软雅黑" w:eastAsia="仿宋_GB2312"/>
          <w:sz w:val="28"/>
          <w:szCs w:val="28"/>
        </w:rPr>
        <w:t>章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/>
          <w:sz w:val="28"/>
          <w:szCs w:val="28"/>
        </w:rPr>
        <w:t>1节</w:t>
      </w:r>
      <w:r>
        <w:rPr>
          <w:rFonts w:hint="eastAsia" w:ascii="仿宋_GB2312" w:hAnsi="微软雅黑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/>
          <w:sz w:val="28"/>
          <w:szCs w:val="28"/>
        </w:rPr>
        <w:t>明确了“十四五”时期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即墨区</w:t>
      </w:r>
      <w:r>
        <w:rPr>
          <w:rFonts w:hint="eastAsia" w:ascii="仿宋_GB2312" w:hAnsi="微软雅黑" w:eastAsia="仿宋_GB2312"/>
          <w:sz w:val="28"/>
          <w:szCs w:val="28"/>
        </w:rPr>
        <w:t>矿产资源勘查、开发利用与保护工作的指导思想、基本原则和规划目标，从矿产勘查开发与保护布局、加强矿产资源勘查开发利用与保护、绿色矿山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与</w:t>
      </w:r>
      <w:r>
        <w:rPr>
          <w:rFonts w:hint="eastAsia" w:ascii="仿宋_GB2312" w:hAnsi="微软雅黑" w:eastAsia="仿宋_GB2312"/>
          <w:sz w:val="28"/>
          <w:szCs w:val="28"/>
        </w:rPr>
        <w:t>矿区生态保护修复等方面作出了具体规划，制定了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微软雅黑" w:eastAsia="仿宋_GB2312"/>
          <w:sz w:val="28"/>
          <w:szCs w:val="28"/>
        </w:rPr>
        <w:t>个主要目标：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一是拓展地质工作服务支撑领域。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全面落实市规划在我区部署的基础性公益性地质调查工作；助力地质大数据共享平台建设，提升地质资料信息化社会化服务水平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微软雅黑" w:eastAsia="仿宋_GB2312"/>
          <w:sz w:val="28"/>
          <w:szCs w:val="28"/>
        </w:rPr>
        <w:t>是实行矿产资源开发总量管理。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 w:bidi="ar"/>
        </w:rPr>
        <w:t>根据市规划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确定的矿产资源开发总量控制指标，科学配置、合理调控本区矿产资源开发总量。到2025年，全区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建筑用安山岩年开发总量300万吨；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地热年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开发总量在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80万立方米左右；矿泉水年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开发总量在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20万立方米左右。全区采矿权数量控制在11个以内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40" w:lineRule="exact"/>
        <w:ind w:left="0" w:right="0" w:firstLine="565" w:firstLineChars="202"/>
        <w:jc w:val="left"/>
        <w:rPr>
          <w:rFonts w:hint="eastAsia" w:ascii="仿宋_GB2312" w:eastAsia="仿宋_GB2312" w:cs="仿宋_GB2312"/>
          <w:b/>
          <w:bCs w:val="0"/>
          <w:sz w:val="28"/>
          <w:szCs w:val="28"/>
          <w:lang w:val="en-US"/>
        </w:rPr>
      </w:pP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微软雅黑" w:eastAsia="仿宋_GB2312"/>
          <w:sz w:val="28"/>
          <w:szCs w:val="28"/>
        </w:rPr>
        <w:t>是优化矿产资源勘查开发保护布局。</w:t>
      </w:r>
      <w:r>
        <w:rPr>
          <w:rFonts w:hint="eastAsia" w:ascii="仿宋_GB2312" w:hAnsi="Times New Roman" w:eastAsia="仿宋_GB2312" w:cs="仿宋_GB2312"/>
          <w:bCs/>
          <w:kern w:val="2"/>
          <w:sz w:val="28"/>
          <w:szCs w:val="28"/>
          <w:lang w:val="en-US" w:eastAsia="zh-CN" w:bidi="ar"/>
        </w:rPr>
        <w:t>落实国土空间规划和生态保护红线、永久基本农田、城镇开发边界三条控制线管控要求，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合理确定本区矿产资源勘查开发保护布局。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微软雅黑" w:eastAsia="仿宋_GB2312"/>
          <w:sz w:val="28"/>
          <w:szCs w:val="28"/>
        </w:rPr>
        <w:t>是加强矿产资源节约集约与综合利用。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鼓励矿山企业采用先进技术、设备，创新开采、生产方式，提高资源利用效率；严格重要矿产资源“三率”指标考核，加强资源保护与节约集约利用。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微软雅黑" w:eastAsia="仿宋_GB2312"/>
          <w:sz w:val="28"/>
          <w:szCs w:val="28"/>
        </w:rPr>
        <w:t>是推进矿业绿色智能发展。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新建矿山必须达到绿色矿山建设要求，支持矿山企业智能化设备改造升级，推动全区矿业绿色智能发展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微软雅黑" w:eastAsia="仿宋_GB2312"/>
          <w:sz w:val="28"/>
          <w:szCs w:val="28"/>
        </w:rPr>
        <w:t>是保障矿山地质环境保护与治理恢复。</w:t>
      </w:r>
      <w:r>
        <w:rPr>
          <w:rFonts w:hint="eastAsia" w:ascii="仿宋_GB2312" w:hAnsi="Times New Roman" w:eastAsia="仿宋_GB2312" w:cs="Times New Roman"/>
          <w:bCs/>
          <w:kern w:val="2"/>
          <w:sz w:val="28"/>
          <w:szCs w:val="28"/>
          <w:lang w:val="en-US" w:eastAsia="zh-CN" w:bidi="ar"/>
        </w:rPr>
        <w:t>建立矿业权人履行矿区生态保护修复法定义务的约束机制，基本建立市、区（市）、矿山企业矿山地质环境监测体系。新建和闭坑矿山地质环境得到有效保护和及时治理，“2013年以来关闭”历史遗留矿山地质环境问题治理基本完成，全区历史遗留问题综合治理取得显著成效。基本建成制度完善、责任明确、措施得当、管理到位的矿区生态保护修复工作新机制。完成《即墨区矿山地质环境保护与治理规划（2018-2025年）》2025年治理目标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五、保障措施</w:t>
      </w:r>
    </w:p>
    <w:p>
      <w:pPr>
        <w:pStyle w:val="4"/>
        <w:widowControl w:val="0"/>
        <w:autoSpaceDE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为保障规划顺利实施，制定了加强组织领导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与考核</w:t>
      </w:r>
      <w:r>
        <w:rPr>
          <w:rFonts w:hint="eastAsia" w:ascii="仿宋_GB2312" w:hAnsi="微软雅黑" w:eastAsia="仿宋_GB2312"/>
          <w:sz w:val="28"/>
          <w:szCs w:val="28"/>
        </w:rPr>
        <w:t>、强化实施管理、抓好监督评估、完善政策支持、加强科技支撑、加大宣传力度等六项保障措施。</w:t>
      </w:r>
    </w:p>
    <w:p>
      <w:pPr>
        <w:spacing w:line="560" w:lineRule="exact"/>
      </w:pPr>
    </w:p>
    <w:sectPr>
      <w:footerReference r:id="rId3" w:type="default"/>
      <w:pgSz w:w="11906" w:h="16838"/>
      <w:pgMar w:top="1985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87223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right"/>
          <w:rPr>
            <w:rFonts w:hint="eastAsia"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0NDBhOTg3NGM1OTVhNGNkMDI2ZjgxYTk4MTI3Y2UifQ=="/>
  </w:docVars>
  <w:rsids>
    <w:rsidRoot w:val="002826E0"/>
    <w:rsid w:val="001A78DE"/>
    <w:rsid w:val="002826E0"/>
    <w:rsid w:val="00D10ECE"/>
    <w:rsid w:val="00E47394"/>
    <w:rsid w:val="40154595"/>
    <w:rsid w:val="78B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2017</Words>
  <Characters>2111</Characters>
  <Lines>19</Lines>
  <Paragraphs>5</Paragraphs>
  <TotalTime>139</TotalTime>
  <ScaleCrop>false</ScaleCrop>
  <LinksUpToDate>false</LinksUpToDate>
  <CharactersWithSpaces>2113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2022-10-19T07:56:00Z</dcterms:created>
  <dc:creator>Lenovo</dc:creator>
  <cp:lastModifiedBy>海中金</cp:lastModifiedBy>
  <dcterms:modified xsi:type="dcterms:W3CDTF">2022-10-28T06:00:03Z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D54B217A60204D258E16B7350BEBAF39</vt:lpwstr>
  </property>
</Properties>
</file>