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2020年司法局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政府信息公开工作年度报告</w:t>
      </w:r>
    </w:p>
    <w:p>
      <w:pPr>
        <w:snapToGrid w:val="0"/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　　一、总体情况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即墨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区司法局坚持以习近平新时代中国特色社会主义思想为指导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认真贯彻执行《政府信息公开条例》，严格落实《即墨区政务公开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考核细则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》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结合司法行政</w:t>
      </w:r>
      <w:r>
        <w:rPr>
          <w:rFonts w:hint="eastAsia" w:ascii="仿宋_GB2312" w:eastAsia="仿宋_GB2312"/>
          <w:sz w:val="32"/>
          <w:szCs w:val="32"/>
        </w:rPr>
        <w:t>“一个统筹、四大职能”工作布局，大力推进政务公开工作，加大公开力度，拓宽公开渠道</w:t>
      </w:r>
      <w:r>
        <w:rPr>
          <w:rFonts w:hint="eastAsia" w:ascii="仿宋_GB2312" w:eastAsia="仿宋_GB2312"/>
          <w:sz w:val="32"/>
          <w:szCs w:val="32"/>
          <w:lang w:eastAsia="zh-CN"/>
        </w:rPr>
        <w:t>，积极推进政协提案办理结果公开，</w:t>
      </w:r>
      <w:r>
        <w:rPr>
          <w:rFonts w:hint="eastAsia" w:ascii="仿宋_GB2312" w:eastAsia="仿宋_GB2312"/>
          <w:sz w:val="32"/>
          <w:szCs w:val="32"/>
        </w:rPr>
        <w:t>进一步保障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公众的知情权、参与权和监督权，有效提升政府公信力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截止本月</w:t>
      </w:r>
      <w:r>
        <w:rPr>
          <w:rFonts w:hint="eastAsia" w:ascii="仿宋_GB2312" w:eastAsia="仿宋_GB2312"/>
          <w:sz w:val="32"/>
          <w:szCs w:val="32"/>
          <w:lang w:eastAsia="zh-CN"/>
        </w:rPr>
        <w:t>，区司法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及所属事业单位</w:t>
      </w:r>
      <w:r>
        <w:rPr>
          <w:rFonts w:hint="eastAsia" w:ascii="仿宋_GB2312" w:eastAsia="仿宋_GB2312"/>
          <w:sz w:val="32"/>
          <w:szCs w:val="32"/>
        </w:rPr>
        <w:t>政府信息公开工作运行正常。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（一）主动公开情况。</w:t>
      </w:r>
      <w:r>
        <w:rPr>
          <w:rFonts w:hint="eastAsia" w:ascii="仿宋_GB2312" w:eastAsia="仿宋_GB2312"/>
          <w:sz w:val="32"/>
          <w:szCs w:val="32"/>
          <w:lang w:eastAsia="zh-CN"/>
        </w:rPr>
        <w:t>我局主动公开各类政府信息407条。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（二）依申请公开情况。</w:t>
      </w:r>
      <w:r>
        <w:rPr>
          <w:rFonts w:hint="eastAsia" w:ascii="仿宋_GB2312" w:eastAsia="仿宋_GB2312"/>
          <w:sz w:val="32"/>
          <w:szCs w:val="32"/>
          <w:lang w:eastAsia="zh-CN"/>
        </w:rPr>
        <w:t>本年度未收到依申请公开。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（三）政府信息管理。</w:t>
      </w:r>
      <w:r>
        <w:rPr>
          <w:rFonts w:hint="eastAsia" w:ascii="仿宋_GB2312" w:eastAsia="仿宋_GB2312"/>
          <w:sz w:val="32"/>
          <w:szCs w:val="32"/>
          <w:lang w:eastAsia="zh-CN"/>
        </w:rPr>
        <w:t>严格执行政务公开保密审查制度，完善上网信息的采编、报送、审核等工作流程，实行分级管理和严格把关。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（四）公开平台建设。</w:t>
      </w:r>
      <w:r>
        <w:rPr>
          <w:rFonts w:hint="eastAsia" w:ascii="仿宋_GB2312" w:eastAsia="仿宋_GB2312"/>
          <w:sz w:val="32"/>
          <w:szCs w:val="32"/>
          <w:lang w:eastAsia="zh-CN"/>
        </w:rPr>
        <w:t>通过强化管理和升级改造，依托区政府门户网站，完善栏目设置，丰富政务信息内容。按照法定时限及时发布并实时更新法定主动公开内容，优化栏目检索功能,方便社会公众快速准确获取所需要的政府信息。充分发挥政务微博、微信、移动客户端等新媒体平台灵活便捷、互动性强的优势，认真做好信息发布、政策解读等各项工作，不断提升政务新媒体的引导力、传播力、影响力，不断增强群众的获得感。</w:t>
      </w:r>
    </w:p>
    <w:p>
      <w:pPr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（五）监督保障。</w:t>
      </w:r>
      <w:r>
        <w:rPr>
          <w:rFonts w:hint="eastAsia" w:ascii="仿宋_GB2312" w:eastAsia="仿宋_GB2312"/>
          <w:sz w:val="32"/>
          <w:szCs w:val="32"/>
          <w:lang w:eastAsia="zh-CN"/>
        </w:rPr>
        <w:t>组织学习《政府信息公开条例》，及时开展宣传培训工作，切实增强做好政务公开工作的自觉性和主动性。定期开展政务信息公开自查及整改工作，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对发现的问题</w:t>
      </w:r>
      <w:r>
        <w:rPr>
          <w:rFonts w:hint="eastAsia" w:ascii="仿宋_GB2312" w:eastAsia="仿宋_GB2312"/>
          <w:sz w:val="32"/>
          <w:szCs w:val="32"/>
          <w:lang w:eastAsia="zh-CN"/>
        </w:rPr>
        <w:t>及时进行整改，确保政务公开工作落实到位。</w:t>
      </w:r>
    </w:p>
    <w:p>
      <w:pPr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二、主动公开政府信息情况</w:t>
      </w:r>
    </w:p>
    <w:p>
      <w:pPr>
        <w:snapToGrid w:val="0"/>
        <w:spacing w:line="220" w:lineRule="exact"/>
        <w:jc w:val="left"/>
        <w:rPr>
          <w:rFonts w:hint="eastAsia" w:ascii="黑体" w:hAnsi="黑体" w:eastAsia="黑体"/>
          <w:color w:val="000000"/>
          <w:sz w:val="16"/>
          <w:szCs w:val="16"/>
        </w:rPr>
      </w:pPr>
    </w:p>
    <w:tbl>
      <w:tblPr>
        <w:tblStyle w:val="5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098"/>
        <w:gridCol w:w="213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3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第二十条第（一）项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本年新制作数量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本年新公开数量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对外公开总数量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规章</w:t>
            </w:r>
          </w:p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（市政府令）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规范性文件</w:t>
            </w:r>
          </w:p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（有规范性文件登记号）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第二十条第（五）项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行政许可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其他对外管理服务事项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3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第二十条第（六）项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行政处罚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行政强制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3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03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第二十条第（八）项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上一年项目数量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本年增/减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行政事业性收费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40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39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第二十条第（九）项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采购项目数量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采购总金额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政府集中采购</w:t>
            </w:r>
          </w:p>
        </w:tc>
        <w:tc>
          <w:tcPr>
            <w:tcW w:w="2098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4401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88.62万</w:t>
            </w:r>
            <w:bookmarkStart w:id="0" w:name="_GoBack"/>
            <w:bookmarkEnd w:id="0"/>
          </w:p>
        </w:tc>
      </w:tr>
    </w:tbl>
    <w:p>
      <w:pPr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　　三、收到和处理政府信息公开申请情况</w:t>
      </w:r>
    </w:p>
    <w:tbl>
      <w:tblPr>
        <w:tblStyle w:val="5"/>
        <w:tblpPr w:leftFromText="180" w:rightFromText="180" w:vertAnchor="text" w:horzAnchor="page" w:tblpX="1570" w:tblpY="203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76"/>
        <w:gridCol w:w="2063"/>
        <w:gridCol w:w="807"/>
        <w:gridCol w:w="750"/>
        <w:gridCol w:w="750"/>
        <w:gridCol w:w="807"/>
        <w:gridCol w:w="965"/>
        <w:gridCol w:w="707"/>
        <w:gridCol w:w="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47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自然人</w:t>
            </w:r>
          </w:p>
        </w:tc>
        <w:tc>
          <w:tcPr>
            <w:tcW w:w="39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科研机构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社会公益组织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ascii="黑体" w:hAnsi="黑体" w:eastAsia="黑体"/>
                <w:sz w:val="22"/>
                <w:szCs w:val="22"/>
              </w:rPr>
              <w:t>（一）予以公开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（三）不予公开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1.属于国家秘密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2.其他法律行政法规禁止公开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3.危及“三安全一稳定”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4.保护第三方合法权益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5.属于三类内部事务信息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6.属于四类过程性信息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7.属于行政执法案卷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8.属于行政查询事项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（四）无法提供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1.本机关不掌握相关政府信息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2.没有现成信息需要另行制作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3.补正后申请内容仍不明确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（五）不予处理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1.信访举报投诉类申请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2.重复申请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3.要求提供公开出版物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4.无正当理由大量反复申请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（六）其他处理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（七）总计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四、结转下年度继续办理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napToGrid w:val="0"/>
        <w:spacing w:line="220" w:lineRule="exact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spacing w:line="420" w:lineRule="exact"/>
        <w:jc w:val="left"/>
        <w:rPr>
          <w:rFonts w:hint="eastAsia" w:ascii="仿宋_GB2312" w:hAnsi="宋体" w:eastAsia="仿宋_GB2312" w:cs="宋体"/>
          <w:color w:val="333333"/>
          <w:kern w:val="0"/>
          <w:sz w:val="22"/>
          <w:szCs w:val="2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shd w:val="clear" w:color="auto" w:fill="FFFFFF"/>
        </w:rPr>
        <w:t>　　注：“其他处理”项目，主要是考虑新旧条例执行衔接以及极少数特殊情况。原则上，所有的政府信息公开申请，都应当按照法定的处理方式做出处理。</w:t>
      </w:r>
    </w:p>
    <w:p>
      <w:pPr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四、政府信息公开行政复议、行政诉讼情况</w:t>
      </w:r>
    </w:p>
    <w:p>
      <w:pPr>
        <w:snapToGrid w:val="0"/>
        <w:spacing w:line="220" w:lineRule="exact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仿宋_GB2312" w:hAnsi="宋体" w:eastAsia="仿宋_GB2312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2"/>
          <w:sz w:val="20"/>
          <w:szCs w:val="20"/>
        </w:rPr>
        <w:t xml:space="preserve">    </w:t>
      </w:r>
      <w:r>
        <w:rPr>
          <w:rFonts w:hint="eastAsia" w:ascii="仿宋_GB2312" w:hAnsi="宋体" w:eastAsia="仿宋_GB2312" w:cs="宋体"/>
          <w:color w:val="333333"/>
          <w:sz w:val="22"/>
          <w:szCs w:val="22"/>
          <w:shd w:val="clear" w:color="auto" w:fill="FFFFFF"/>
        </w:rPr>
        <w:t>注：行政复议机关作为共同被告的行政诉讼案件，只计算原行为主体的案件数量，不计算行政复议机关的案件数量。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宋体" w:hAnsi="宋体" w:cs="宋体"/>
          <w:b/>
          <w:color w:val="333333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　　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一年来，我局政府信息公开整体工作水平有了较大提升，但与上级要求还有一定差距，主要有：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信息公开内容有待进一步完善，政务公开的深度和广度有待提升；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规范性文件立改废等重点领域信息公开有待进一步加强；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政策解读与回应关切方面工作机制有待进一步增强；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信息发布滞后问题有待进一步加强。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黑体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2021年，我局继续加大信息公开力度，拓宽公开渠道。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紧紧围绕区委区政府中心工作以及公众关切，全面推进决策、执行、管理、服务、结果“五公开”。继续深化重点领域信息公开，加大规范性文件立改废、行政执法监督等事项信息的公开力度，丰富公开内容，规范公开程序，确保公开信息的完整性和准确性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按照“谁起草、谁解读”的原则，将政策解读要求落实到公文办理程序，完善政策解读机制，加大政策解读力度，及时发布解读信息，回应社会关切，扩大政务公开覆盖面和影响力。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依托政府信息公开门户网站，提升网站信息发布、在线服务和互动交流水平。积极运用政务微博、微信、手机APP客户端等政务新媒体，不断丰富公开形式，全面拓展政务公开渠道。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加强对政府信息公开工作的监督检查，采取定期通报、现场督导、会议培训等方式，实时开展政府信息公开工作督查，积极推进政府信息公开工作标准化、规范化。</w:t>
      </w:r>
      <w:r>
        <w:rPr>
          <w:rFonts w:hint="eastAsia" w:ascii="仿宋_GB2312" w:hAnsi="黑体" w:eastAsia="仿宋_GB2312"/>
          <w:color w:val="000000"/>
          <w:kern w:val="2"/>
          <w:sz w:val="32"/>
          <w:szCs w:val="32"/>
        </w:rPr>
        <w:t>　　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黑体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2020年，我局无其他需要报告的事项。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right"/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/>
        </w:rPr>
        <w:t>青岛市即墨区司法局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right"/>
        <w:rPr>
          <w:rFonts w:hint="default" w:ascii="仿宋_GB2312" w:hAnsi="黑体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kern w:val="2"/>
          <w:sz w:val="32"/>
          <w:szCs w:val="32"/>
          <w:lang w:val="en-US" w:eastAsia="zh-CN"/>
        </w:rPr>
        <w:t>2021年1月21日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191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1847"/>
    <w:rsid w:val="0CF009CF"/>
    <w:rsid w:val="169862F8"/>
    <w:rsid w:val="1B9E02D9"/>
    <w:rsid w:val="1E1D587A"/>
    <w:rsid w:val="1FF61538"/>
    <w:rsid w:val="22D35BFD"/>
    <w:rsid w:val="24271847"/>
    <w:rsid w:val="2A87492C"/>
    <w:rsid w:val="2B0711CC"/>
    <w:rsid w:val="32D409ED"/>
    <w:rsid w:val="363A2FE8"/>
    <w:rsid w:val="3BB21CE1"/>
    <w:rsid w:val="3EFE57BF"/>
    <w:rsid w:val="48344091"/>
    <w:rsid w:val="488B3D3E"/>
    <w:rsid w:val="5C726EE9"/>
    <w:rsid w:val="6E9610D8"/>
    <w:rsid w:val="6FE4259C"/>
    <w:rsid w:val="71A00C96"/>
    <w:rsid w:val="725A16D2"/>
    <w:rsid w:val="73345FBD"/>
    <w:rsid w:val="7A8C76A0"/>
    <w:rsid w:val="7AE1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2021-01-18T02:51:00Z</dcterms:created>
  <dc:creator>Administrator</dc:creator>
  <cp:lastModifiedBy>Mr.Q</cp:lastModifiedBy>
  <cp:lastPrinted>2021-01-22T00:20:00Z</cp:lastPrinted>
  <dcterms:modified xsi:type="dcterms:W3CDTF">2021-11-07T03:29:47Z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KSOSaveFontToCloudKey">
    <vt:lpwstr>566602085_btnclosed</vt:lpwstr>
  </property>
  <property fmtid="{D5CDD505-2E9C-101B-9397-08002B2CF9AE}" pid="4" name="ICV">
    <vt:lpwstr>6497A1AE4F2E4183854EBE2E590B651C</vt:lpwstr>
  </property>
</Properties>
</file>