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82DD">
      <w:pPr>
        <w:pStyle w:val="6"/>
        <w:spacing w:line="560" w:lineRule="exact"/>
        <w:ind w:left="0" w:leftChars="0" w:firstLine="0" w:firstLineChars="0"/>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青岛市即墨区202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年耕地质量调查监测与评价项目土壤样品化验服务</w:t>
      </w:r>
    </w:p>
    <w:p w14:paraId="1BA88137">
      <w:pPr>
        <w:pStyle w:val="6"/>
        <w:spacing w:line="560" w:lineRule="exact"/>
        <w:ind w:left="0" w:leftChars="0" w:firstLine="0" w:firstLineChars="0"/>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采购公告</w:t>
      </w:r>
    </w:p>
    <w:p w14:paraId="7CAC79CF">
      <w:pPr>
        <w:pStyle w:val="6"/>
        <w:spacing w:line="560" w:lineRule="exact"/>
        <w:ind w:left="0" w:leftChars="0" w:firstLine="0" w:firstLineChars="0"/>
        <w:jc w:val="center"/>
        <w:outlineLvl w:val="0"/>
        <w:rPr>
          <w:rFonts w:ascii="Times New Roman" w:hAnsi="Times New Roman" w:eastAsia="方正小标宋简体"/>
          <w:sz w:val="44"/>
          <w:szCs w:val="44"/>
        </w:rPr>
      </w:pPr>
    </w:p>
    <w:p w14:paraId="4887C9F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青岛市即墨区农业农村局对《即墨区202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耕地质量调查监测与评价项目</w:t>
      </w:r>
      <w:r>
        <w:rPr>
          <w:rFonts w:ascii="Times New Roman" w:hAnsi="Times New Roman" w:eastAsia="仿宋_GB2312"/>
          <w:sz w:val="32"/>
          <w:szCs w:val="32"/>
        </w:rPr>
        <w:t>土壤样品采集化验</w:t>
      </w:r>
      <w:r>
        <w:rPr>
          <w:rFonts w:hint="eastAsia" w:ascii="Times New Roman" w:hAnsi="Times New Roman" w:eastAsia="仿宋_GB2312"/>
          <w:sz w:val="32"/>
          <w:szCs w:val="32"/>
        </w:rPr>
        <w:t>服务</w:t>
      </w:r>
      <w:r>
        <w:rPr>
          <w:rFonts w:ascii="Times New Roman" w:hAnsi="Times New Roman" w:eastAsia="仿宋_GB2312"/>
          <w:sz w:val="32"/>
          <w:szCs w:val="32"/>
        </w:rPr>
        <w:t>》进行采购，欢迎符合条件的服务商在规定时间内参加。</w:t>
      </w:r>
    </w:p>
    <w:p w14:paraId="2094ECD2">
      <w:pPr>
        <w:spacing w:line="520" w:lineRule="exact"/>
        <w:ind w:firstLine="640" w:firstLineChars="200"/>
        <w:rPr>
          <w:rFonts w:ascii="Times New Roman" w:hAnsi="Times New Roman" w:eastAsia="仿宋_GB2312"/>
          <w:sz w:val="32"/>
          <w:szCs w:val="32"/>
        </w:rPr>
      </w:pPr>
      <w:r>
        <w:rPr>
          <w:rFonts w:ascii="Times New Roman" w:hAnsi="Times New Roman" w:eastAsia="黑体"/>
          <w:sz w:val="32"/>
          <w:szCs w:val="32"/>
        </w:rPr>
        <w:t>一、采购人：</w:t>
      </w:r>
      <w:r>
        <w:rPr>
          <w:rFonts w:ascii="Times New Roman" w:hAnsi="Times New Roman" w:eastAsia="仿宋_GB2312"/>
          <w:sz w:val="32"/>
          <w:szCs w:val="32"/>
        </w:rPr>
        <w:t>青岛市即墨区农业农村局</w:t>
      </w:r>
    </w:p>
    <w:p w14:paraId="1F52E2E3">
      <w:pPr>
        <w:spacing w:line="52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rPr>
        <w:t>二、采购项目名称：</w:t>
      </w:r>
      <w:r>
        <w:rPr>
          <w:rFonts w:ascii="Times New Roman" w:hAnsi="Times New Roman" w:eastAsia="仿宋_GB2312"/>
          <w:sz w:val="32"/>
          <w:szCs w:val="32"/>
        </w:rPr>
        <w:t>青岛市即墨区202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耕地质量调查监测与评价项目</w:t>
      </w:r>
      <w:r>
        <w:rPr>
          <w:rFonts w:ascii="Times New Roman" w:hAnsi="Times New Roman" w:eastAsia="仿宋_GB2312"/>
          <w:sz w:val="32"/>
          <w:szCs w:val="32"/>
        </w:rPr>
        <w:t>土壤样品采集化验</w:t>
      </w:r>
      <w:r>
        <w:rPr>
          <w:rFonts w:hint="eastAsia" w:ascii="Times New Roman" w:hAnsi="Times New Roman" w:eastAsia="仿宋_GB2312"/>
          <w:sz w:val="32"/>
          <w:szCs w:val="32"/>
        </w:rPr>
        <w:t>服务</w:t>
      </w:r>
    </w:p>
    <w:p w14:paraId="46576264">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三、采购控制价：</w:t>
      </w:r>
      <w:r>
        <w:rPr>
          <w:rFonts w:ascii="Times New Roman" w:hAnsi="Times New Roman" w:eastAsia="仿宋_GB2312"/>
          <w:sz w:val="32"/>
          <w:szCs w:val="32"/>
        </w:rPr>
        <w:t>总价</w:t>
      </w:r>
      <w:r>
        <w:rPr>
          <w:rFonts w:hint="eastAsia" w:ascii="仿宋_GB2312" w:eastAsia="仿宋_GB2312"/>
          <w:sz w:val="32"/>
          <w:szCs w:val="32"/>
          <w:lang w:val="en-US" w:eastAsia="zh-CN"/>
        </w:rPr>
        <w:t>16.24</w:t>
      </w:r>
      <w:r>
        <w:rPr>
          <w:rFonts w:hint="eastAsia" w:ascii="仿宋_GB2312" w:eastAsia="仿宋_GB2312"/>
          <w:sz w:val="32"/>
          <w:szCs w:val="32"/>
        </w:rPr>
        <w:t>万元</w:t>
      </w:r>
      <w:r>
        <w:rPr>
          <w:rFonts w:ascii="Times New Roman" w:hAnsi="Times New Roman" w:eastAsia="仿宋_GB2312"/>
          <w:sz w:val="32"/>
          <w:szCs w:val="32"/>
        </w:rPr>
        <w:t>。</w:t>
      </w:r>
    </w:p>
    <w:p w14:paraId="3945E469">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四、服务商基本资格：</w:t>
      </w:r>
    </w:p>
    <w:p w14:paraId="5C6ECEC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符合《中华人民共和国政府采购法》第二十二条规定</w:t>
      </w:r>
      <w:r>
        <w:rPr>
          <w:rFonts w:ascii="Times New Roman" w:hAnsi="Times New Roman" w:eastAsia="仿宋_GB2312"/>
          <w:sz w:val="32"/>
          <w:szCs w:val="32"/>
        </w:rPr>
        <w:t>。</w:t>
      </w:r>
    </w:p>
    <w:p w14:paraId="7E32A8ED">
      <w:pPr>
        <w:spacing w:line="520" w:lineRule="exact"/>
        <w:ind w:firstLine="640" w:firstLineChars="200"/>
        <w:rPr>
          <w:rFonts w:hint="eastAsia" w:ascii="仿宋_GB2312" w:eastAsia="仿宋_GB2312" w:cs="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服务商须具有计量认证资质证书，检测能力应包括</w:t>
      </w:r>
      <w:r>
        <w:rPr>
          <w:rFonts w:hint="eastAsia" w:ascii="仿宋_GB2312" w:eastAsia="仿宋_GB2312" w:cs="仿宋_GB2312"/>
          <w:sz w:val="32"/>
          <w:szCs w:val="32"/>
        </w:rPr>
        <w:t>容重、</w:t>
      </w:r>
      <w:r>
        <w:rPr>
          <w:rFonts w:ascii="仿宋_GB2312" w:eastAsia="仿宋_GB2312" w:cs="仿宋_GB2312"/>
          <w:sz w:val="32"/>
          <w:szCs w:val="32"/>
        </w:rPr>
        <w:t>pH</w:t>
      </w:r>
      <w:r>
        <w:rPr>
          <w:rFonts w:hint="eastAsia" w:ascii="仿宋_GB2312" w:eastAsia="仿宋_GB2312" w:cs="仿宋_GB2312"/>
          <w:sz w:val="32"/>
          <w:szCs w:val="32"/>
        </w:rPr>
        <w:t>、水溶性盐分总量、有机质、全氮、碱解氮、全磷、有效磷、全钾、缓效钾、速效钾、交换性钙、交换性镁、有效铁、有效锰、有效铜、有效锌、水溶态硼、有效钼、有效硫、有效硅。</w:t>
      </w:r>
    </w:p>
    <w:p w14:paraId="744290A0">
      <w:pPr>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通过“信用中国”网站（www.creditchina.gov.cn）、中国政府采购网（www.ccgp.gov.cn）、信用山东(www.creditsd.gov.cn)及信用青岛（credit.qingdao.gov.cn）查询，未被列入失信被执行人、重大税收违法案件当事人、政府采购严重违法失信行为记录名单。</w:t>
      </w:r>
    </w:p>
    <w:p w14:paraId="16DBB8D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本项目不接受联合体报价。</w:t>
      </w:r>
    </w:p>
    <w:p w14:paraId="3907EB29">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五、公告媒介及时间：</w:t>
      </w:r>
    </w:p>
    <w:p w14:paraId="22252CA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1、公告媒介：本次采购公告在即墨政务网上发布。</w:t>
      </w:r>
    </w:p>
    <w:p w14:paraId="38848C2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2、公告及报名截止时间：自 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日至</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日</w:t>
      </w:r>
      <w:r>
        <w:rPr>
          <w:rFonts w:ascii="Times New Roman" w:hAnsi="Times New Roman" w:eastAsia="仿宋_GB2312"/>
          <w:sz w:val="32"/>
          <w:szCs w:val="32"/>
        </w:rPr>
        <w:t>24时止。</w:t>
      </w:r>
    </w:p>
    <w:p w14:paraId="5609E2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3、报名时需提交的资料：</w:t>
      </w:r>
    </w:p>
    <w:p w14:paraId="52B331A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营业执照、登记证书、执业许可证等</w:t>
      </w:r>
      <w:r>
        <w:rPr>
          <w:rFonts w:ascii="Times New Roman" w:hAnsi="Times New Roman" w:eastAsia="仿宋_GB2312"/>
          <w:sz w:val="32"/>
          <w:szCs w:val="32"/>
        </w:rPr>
        <w:t>复印件；</w:t>
      </w:r>
    </w:p>
    <w:p w14:paraId="6A4D26E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（2）法定代表人身份证复印件（法定代表人亲自报名）或法定代表人授权委托书及被委托人的身份证复印件（</w:t>
      </w:r>
      <w:r>
        <w:rPr>
          <w:rFonts w:hint="eastAsia" w:ascii="Times New Roman" w:hAnsi="Times New Roman" w:eastAsia="仿宋_GB2312"/>
          <w:sz w:val="32"/>
          <w:szCs w:val="32"/>
        </w:rPr>
        <w:t>授权委托人</w:t>
      </w:r>
      <w:r>
        <w:rPr>
          <w:rFonts w:ascii="Times New Roman" w:hAnsi="Times New Roman" w:eastAsia="仿宋_GB2312"/>
          <w:sz w:val="32"/>
          <w:szCs w:val="32"/>
        </w:rPr>
        <w:t>报名）；</w:t>
      </w:r>
    </w:p>
    <w:p w14:paraId="6ECDF916">
      <w:pPr>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（3）服务商在政府采购活动中无任何不良记录证明</w:t>
      </w:r>
      <w:r>
        <w:rPr>
          <w:rFonts w:hint="eastAsia" w:ascii="Times New Roman" w:hAnsi="Times New Roman" w:eastAsia="仿宋_GB2312"/>
          <w:sz w:val="32"/>
          <w:szCs w:val="32"/>
        </w:rPr>
        <w:t>材料（通过“信用中国”网站（www.creditchina.gov.cn）、中国政府采购网（www.ccgp.gov.cn）、信用山东(www.creditsd.gov.cn)及信用青岛（credit.qingdao.gov.cn）查询服务商信用记录，查询时要将查询网页、内容进行截图或拍照，以作证据留存，截图或拍照内容要完整清晰，应包括网站网址、查询内容、电脑截屏时间）。</w:t>
      </w:r>
    </w:p>
    <w:p w14:paraId="50717EC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服务商</w:t>
      </w:r>
      <w:r>
        <w:rPr>
          <w:rFonts w:ascii="Times New Roman" w:hAnsi="Times New Roman" w:eastAsia="仿宋_GB2312"/>
          <w:sz w:val="32"/>
          <w:szCs w:val="32"/>
        </w:rPr>
        <w:t>联系方式、联系人；</w:t>
      </w:r>
    </w:p>
    <w:p w14:paraId="2D44FA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报名方式及报名要求：邮件报名，</w:t>
      </w:r>
      <w:r>
        <w:rPr>
          <w:rFonts w:hint="eastAsia" w:ascii="Times New Roman" w:hAnsi="Times New Roman" w:eastAsia="仿宋_GB2312"/>
          <w:sz w:val="32"/>
          <w:szCs w:val="32"/>
        </w:rPr>
        <w:t>服务商</w:t>
      </w:r>
      <w:r>
        <w:rPr>
          <w:rFonts w:ascii="Times New Roman" w:hAnsi="Times New Roman" w:eastAsia="仿宋_GB2312"/>
          <w:sz w:val="32"/>
          <w:szCs w:val="32"/>
        </w:rPr>
        <w:t>需把报名所需资料扫描为PDF版（加盖单位公章），发送邮件报名（邮箱：</w:t>
      </w:r>
      <w:r>
        <w:rPr>
          <w:rFonts w:ascii="Times New Roman" w:hAnsi="Times New Roman" w:eastAsia="仿宋_GB2312"/>
          <w:color w:val="000000" w:themeColor="text1"/>
          <w:sz w:val="32"/>
          <w:szCs w:val="32"/>
        </w:rPr>
        <w:t>jmstfz@163.com</w:t>
      </w:r>
      <w:r>
        <w:rPr>
          <w:rFonts w:ascii="Times New Roman" w:hAnsi="Times New Roman" w:eastAsia="仿宋_GB2312"/>
          <w:sz w:val="32"/>
          <w:szCs w:val="32"/>
        </w:rPr>
        <w:t>），</w:t>
      </w:r>
      <w:bookmarkStart w:id="0" w:name="_Hlk80176240"/>
      <w:r>
        <w:rPr>
          <w:rFonts w:ascii="Times New Roman" w:hAnsi="Times New Roman" w:eastAsia="仿宋_GB2312"/>
          <w:sz w:val="32"/>
          <w:szCs w:val="32"/>
        </w:rPr>
        <w:t>以</w:t>
      </w:r>
      <w:r>
        <w:rPr>
          <w:rFonts w:hint="eastAsia" w:ascii="Times New Roman" w:hAnsi="Times New Roman" w:eastAsia="仿宋_GB2312"/>
          <w:sz w:val="32"/>
          <w:szCs w:val="32"/>
        </w:rPr>
        <w:t>采购人</w:t>
      </w:r>
      <w:r>
        <w:rPr>
          <w:rFonts w:ascii="Times New Roman" w:hAnsi="Times New Roman" w:eastAsia="仿宋_GB2312"/>
          <w:sz w:val="32"/>
          <w:szCs w:val="32"/>
        </w:rPr>
        <w:t>收到邮件的时间为准（逾期视为自动放弃</w:t>
      </w:r>
      <w:r>
        <w:rPr>
          <w:rFonts w:hint="eastAsia" w:ascii="Times New Roman" w:hAnsi="Times New Roman" w:eastAsia="仿宋_GB2312"/>
          <w:sz w:val="32"/>
          <w:szCs w:val="32"/>
        </w:rPr>
        <w:t>报名</w:t>
      </w:r>
      <w:r>
        <w:rPr>
          <w:rFonts w:ascii="Times New Roman" w:hAnsi="Times New Roman" w:eastAsia="仿宋_GB2312"/>
          <w:sz w:val="32"/>
          <w:szCs w:val="32"/>
        </w:rPr>
        <w:t>）。</w:t>
      </w:r>
      <w:bookmarkEnd w:id="0"/>
    </w:p>
    <w:p w14:paraId="3F988AB0">
      <w:pPr>
        <w:spacing w:line="520" w:lineRule="exact"/>
        <w:ind w:firstLine="640" w:firstLineChars="200"/>
        <w:rPr>
          <w:rFonts w:ascii="Times New Roman" w:hAnsi="Times New Roman"/>
        </w:rPr>
      </w:pPr>
      <w:r>
        <w:rPr>
          <w:rFonts w:ascii="Times New Roman" w:hAnsi="Times New Roman" w:eastAsia="黑体"/>
          <w:sz w:val="32"/>
          <w:szCs w:val="32"/>
        </w:rPr>
        <w:t>六、采购需求：</w:t>
      </w:r>
    </w:p>
    <w:p w14:paraId="3549E6A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采集化验土壤样品（详细要求见附件1）</w:t>
      </w:r>
    </w:p>
    <w:p w14:paraId="1663C8EF">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七、采购方式：</w:t>
      </w:r>
    </w:p>
    <w:p w14:paraId="4F52E1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由区农业农村局相关人员组成采购小组，确定1家成交服务商，</w:t>
      </w:r>
      <w:r>
        <w:rPr>
          <w:rFonts w:hint="eastAsia" w:ascii="Times New Roman" w:hAnsi="Times New Roman" w:eastAsia="仿宋_GB2312"/>
          <w:sz w:val="32"/>
          <w:szCs w:val="32"/>
        </w:rPr>
        <w:t>采购资格后审、</w:t>
      </w:r>
      <w:r>
        <w:rPr>
          <w:rFonts w:ascii="Times New Roman" w:hAnsi="Times New Roman" w:eastAsia="仿宋_GB2312"/>
          <w:sz w:val="32"/>
          <w:szCs w:val="32"/>
        </w:rPr>
        <w:t>综合评分法，评分因素分为“报价部分、商务部分、技术部分”，综合评分最高的为成交供应商（具体评审因素和评分标准见附件2）。</w:t>
      </w:r>
    </w:p>
    <w:p w14:paraId="2D32276A">
      <w:pPr>
        <w:spacing w:line="520" w:lineRule="exact"/>
        <w:ind w:firstLine="640" w:firstLineChars="200"/>
        <w:rPr>
          <w:rFonts w:ascii="Times New Roman" w:hAnsi="Times New Roman"/>
        </w:rPr>
      </w:pPr>
      <w:r>
        <w:rPr>
          <w:rFonts w:ascii="Times New Roman" w:hAnsi="Times New Roman" w:eastAsia="黑体"/>
          <w:sz w:val="32"/>
          <w:szCs w:val="32"/>
        </w:rPr>
        <w:t>八、</w:t>
      </w:r>
      <w:r>
        <w:rPr>
          <w:rFonts w:hint="eastAsia" w:ascii="Times New Roman" w:hAnsi="Times New Roman" w:eastAsia="黑体"/>
          <w:sz w:val="32"/>
          <w:szCs w:val="32"/>
        </w:rPr>
        <w:t>响应</w:t>
      </w:r>
      <w:r>
        <w:rPr>
          <w:rFonts w:ascii="Times New Roman" w:hAnsi="Times New Roman" w:eastAsia="黑体"/>
          <w:sz w:val="32"/>
          <w:szCs w:val="32"/>
        </w:rPr>
        <w:t>文件要求：</w:t>
      </w:r>
    </w:p>
    <w:p w14:paraId="2589F32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响应</w:t>
      </w:r>
      <w:r>
        <w:rPr>
          <w:rFonts w:ascii="Times New Roman" w:hAnsi="Times New Roman" w:eastAsia="仿宋_GB2312"/>
          <w:sz w:val="32"/>
          <w:szCs w:val="32"/>
        </w:rPr>
        <w:t>文件组成：</w:t>
      </w:r>
    </w:p>
    <w:p w14:paraId="0DB586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1.1报价一览表；</w:t>
      </w:r>
    </w:p>
    <w:p w14:paraId="717079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2</w:t>
      </w:r>
      <w:r>
        <w:rPr>
          <w:rFonts w:ascii="Times New Roman" w:hAnsi="Times New Roman" w:eastAsia="仿宋_GB2312"/>
          <w:sz w:val="32"/>
          <w:szCs w:val="32"/>
        </w:rPr>
        <w:t>报名时需提交的资料复印件加盖公章；</w:t>
      </w:r>
    </w:p>
    <w:p w14:paraId="5A36D1B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Times New Roman" w:hAnsi="Times New Roman" w:eastAsia="仿宋_GB2312"/>
          <w:sz w:val="32"/>
          <w:szCs w:val="32"/>
        </w:rPr>
        <w:t>满足项目实施的技术服务方案；</w:t>
      </w:r>
    </w:p>
    <w:p w14:paraId="50DC02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需要提供的业绩等</w:t>
      </w:r>
      <w:r>
        <w:rPr>
          <w:rFonts w:hint="eastAsia" w:ascii="Times New Roman" w:hAnsi="Times New Roman" w:eastAsia="仿宋_GB2312"/>
          <w:sz w:val="32"/>
          <w:szCs w:val="32"/>
        </w:rPr>
        <w:t>技术商务加分项</w:t>
      </w:r>
      <w:r>
        <w:rPr>
          <w:rFonts w:ascii="Times New Roman" w:hAnsi="Times New Roman" w:eastAsia="仿宋_GB2312"/>
          <w:sz w:val="32"/>
          <w:szCs w:val="32"/>
        </w:rPr>
        <w:t>材料；</w:t>
      </w:r>
    </w:p>
    <w:p w14:paraId="7F828A3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满足项目实施的技术、服务措施说明，项目实施质量、安全、进度计划保证的各项措施；</w:t>
      </w:r>
    </w:p>
    <w:p w14:paraId="684A164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6</w:t>
      </w:r>
      <w:r>
        <w:rPr>
          <w:rFonts w:ascii="Times New Roman" w:hAnsi="Times New Roman" w:eastAsia="仿宋_GB2312"/>
          <w:sz w:val="32"/>
          <w:szCs w:val="32"/>
        </w:rPr>
        <w:t>实验室情况说明及证明材料；</w:t>
      </w:r>
    </w:p>
    <w:p w14:paraId="0870AF3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7</w:t>
      </w:r>
      <w:r>
        <w:rPr>
          <w:rFonts w:ascii="Times New Roman" w:hAnsi="Times New Roman" w:eastAsia="仿宋_GB2312"/>
          <w:sz w:val="32"/>
          <w:szCs w:val="32"/>
        </w:rPr>
        <w:t>履约能力、企业信誉、荣誉等证明资料和售后服务方案等。</w:t>
      </w:r>
    </w:p>
    <w:p w14:paraId="26328B06">
      <w:pPr>
        <w:pStyle w:val="2"/>
        <w:spacing w:line="520" w:lineRule="exact"/>
        <w:ind w:firstLine="640"/>
        <w:rPr>
          <w:rFonts w:hint="eastAsia"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响应文件的制作：</w:t>
      </w:r>
      <w:r>
        <w:rPr>
          <w:rFonts w:ascii="Times New Roman" w:hAnsi="Times New Roman" w:eastAsia="仿宋_GB2312"/>
          <w:sz w:val="32"/>
          <w:szCs w:val="32"/>
        </w:rPr>
        <w:t>投标文件一正三副</w:t>
      </w:r>
      <w:r>
        <w:rPr>
          <w:rFonts w:hint="eastAsia" w:ascii="Times New Roman" w:hAnsi="Times New Roman" w:eastAsia="仿宋_GB2312"/>
          <w:sz w:val="32"/>
          <w:szCs w:val="32"/>
        </w:rPr>
        <w:t>，制作方式：胶装。响应文件封面设置包括：响应文件、项目名称、项目编号、供应商全称和响应文件完成时间。供应商全称填写“×××公司”，并加盖供应商公章及法定代表人签字</w:t>
      </w:r>
      <w:r>
        <w:rPr>
          <w:rFonts w:ascii="Times New Roman" w:hAnsi="Times New Roman" w:eastAsia="仿宋_GB2312"/>
          <w:sz w:val="32"/>
          <w:szCs w:val="32"/>
        </w:rPr>
        <w:t>。</w:t>
      </w:r>
    </w:p>
    <w:p w14:paraId="1B7BD56A">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3. 密封与标记</w:t>
      </w:r>
    </w:p>
    <w:p w14:paraId="3CB16356">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3.1将响应文件装在一个密封件中，一个密封件确实无法密封的，可分开密封。</w:t>
      </w:r>
    </w:p>
    <w:p w14:paraId="0CDD7A8A">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3.2密封件封套上标明采购项目编号、项目名称以及包、供应商名称等，在所有封签处标注“请勿在 年 月 日 时 分之前启封”字样，并加盖供应商单位公章以及法定代表人或者被授权代表签字。</w:t>
      </w:r>
    </w:p>
    <w:p w14:paraId="673603FB">
      <w:pPr>
        <w:pStyle w:val="2"/>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4.法定代表人身份证明原件和本人身份证原件或法定代表人授权委托书原件和本人身份证原件应当在递交响应文件时出示并提交，不允许放在密封件中。</w:t>
      </w:r>
    </w:p>
    <w:p w14:paraId="4C304204">
      <w:pPr>
        <w:spacing w:line="52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九、</w:t>
      </w:r>
      <w:r>
        <w:rPr>
          <w:rFonts w:hint="eastAsia" w:ascii="Times New Roman" w:hAnsi="Times New Roman" w:eastAsia="黑体"/>
          <w:sz w:val="32"/>
          <w:szCs w:val="32"/>
        </w:rPr>
        <w:t>无效投标</w:t>
      </w:r>
    </w:p>
    <w:p w14:paraId="3EC24B3E">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1、响应报价高于采购预算或采购最高限价的；</w:t>
      </w:r>
    </w:p>
    <w:p w14:paraId="026ECD9D">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2、不按照采购文件规定报价、有多个报价、有选择性报价、附有条件的报价的；</w:t>
      </w:r>
    </w:p>
    <w:p w14:paraId="3487BAF6">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3、报名时需提交的资料，响应文件中未提供、提供不齐全的；</w:t>
      </w:r>
    </w:p>
    <w:p w14:paraId="3FE3F484">
      <w:pPr>
        <w:pStyle w:val="2"/>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4、不响应采样点位及检测项目指标说明的。</w:t>
      </w:r>
    </w:p>
    <w:p w14:paraId="67D07893">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投标截止时间、开标时间及地点：</w:t>
      </w:r>
    </w:p>
    <w:p w14:paraId="1E787F1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1、投标截止时间、开标时间：202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日</w:t>
      </w:r>
      <w:r>
        <w:rPr>
          <w:rFonts w:hint="eastAsia" w:ascii="Times New Roman" w:hAnsi="Times New Roman" w:eastAsia="仿宋_GB2312"/>
          <w:sz w:val="32"/>
          <w:szCs w:val="32"/>
        </w:rPr>
        <w:t>上午9</w:t>
      </w:r>
      <w:r>
        <w:rPr>
          <w:rFonts w:ascii="Times New Roman" w:hAnsi="Times New Roman" w:eastAsia="仿宋_GB2312"/>
          <w:sz w:val="32"/>
          <w:szCs w:val="32"/>
        </w:rPr>
        <w:t>：</w:t>
      </w:r>
      <w:r>
        <w:rPr>
          <w:rFonts w:hint="eastAsia" w:ascii="Times New Roman" w:hAnsi="Times New Roman" w:eastAsia="仿宋_GB2312"/>
          <w:sz w:val="32"/>
          <w:szCs w:val="32"/>
        </w:rPr>
        <w:t>0</w:t>
      </w:r>
      <w:r>
        <w:rPr>
          <w:rFonts w:ascii="Times New Roman" w:hAnsi="Times New Roman" w:eastAsia="仿宋_GB2312"/>
          <w:sz w:val="32"/>
          <w:szCs w:val="32"/>
        </w:rPr>
        <w:t>0。</w:t>
      </w:r>
    </w:p>
    <w:p w14:paraId="3A83142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2、开标地点：青岛市即墨区蓝鳌路 748 号</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楼</w:t>
      </w:r>
      <w:r>
        <w:rPr>
          <w:rFonts w:hint="eastAsia" w:ascii="Times New Roman" w:hAnsi="Times New Roman" w:eastAsia="仿宋_GB2312"/>
          <w:sz w:val="32"/>
          <w:szCs w:val="32"/>
          <w:lang w:val="en-US" w:eastAsia="zh-CN"/>
        </w:rPr>
        <w:t>507</w:t>
      </w:r>
      <w:r>
        <w:rPr>
          <w:rFonts w:ascii="Times New Roman" w:hAnsi="Times New Roman" w:eastAsia="仿宋_GB2312"/>
          <w:sz w:val="32"/>
          <w:szCs w:val="32"/>
        </w:rPr>
        <w:t>室，逾期递交或者未送达指定地点的投标文件不予接受。</w:t>
      </w:r>
    </w:p>
    <w:p w14:paraId="0F71C604">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十</w:t>
      </w:r>
      <w:r>
        <w:rPr>
          <w:rFonts w:hint="eastAsia" w:ascii="Times New Roman" w:hAnsi="Times New Roman" w:eastAsia="黑体"/>
          <w:sz w:val="32"/>
          <w:szCs w:val="32"/>
        </w:rPr>
        <w:t>一</w:t>
      </w:r>
      <w:r>
        <w:rPr>
          <w:rFonts w:ascii="Times New Roman" w:hAnsi="Times New Roman" w:eastAsia="黑体"/>
          <w:sz w:val="32"/>
          <w:szCs w:val="32"/>
        </w:rPr>
        <w:t>、采购项目联系方式</w:t>
      </w:r>
    </w:p>
    <w:p w14:paraId="587AA84B">
      <w:pPr>
        <w:pStyle w:val="6"/>
        <w:spacing w:line="52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联系部门（采购部门）：土肥</w:t>
      </w:r>
      <w:r>
        <w:rPr>
          <w:rFonts w:hint="eastAsia" w:ascii="Times New Roman" w:hAnsi="Times New Roman" w:eastAsia="仿宋_GB2312"/>
          <w:sz w:val="32"/>
          <w:szCs w:val="32"/>
        </w:rPr>
        <w:t>科</w:t>
      </w:r>
      <w:r>
        <w:rPr>
          <w:rFonts w:ascii="Times New Roman" w:hAnsi="Times New Roman" w:eastAsia="仿宋_GB2312"/>
          <w:sz w:val="32"/>
          <w:szCs w:val="32"/>
        </w:rPr>
        <w:t xml:space="preserve">   联系方式：</w:t>
      </w:r>
      <w:r>
        <w:rPr>
          <w:rFonts w:hint="eastAsia" w:ascii="Times New Roman" w:hAnsi="Times New Roman" w:eastAsia="仿宋_GB2312"/>
          <w:sz w:val="32"/>
          <w:szCs w:val="32"/>
          <w:lang w:val="en-US" w:eastAsia="zh-CN"/>
        </w:rPr>
        <w:t>0532-</w:t>
      </w:r>
      <w:r>
        <w:rPr>
          <w:rFonts w:ascii="Times New Roman" w:hAnsi="Times New Roman" w:eastAsia="仿宋_GB2312"/>
          <w:sz w:val="32"/>
          <w:szCs w:val="32"/>
        </w:rPr>
        <w:t>88522609</w:t>
      </w:r>
    </w:p>
    <w:p w14:paraId="5EC400B9">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十</w:t>
      </w:r>
      <w:r>
        <w:rPr>
          <w:rFonts w:hint="eastAsia" w:ascii="Times New Roman" w:hAnsi="Times New Roman" w:eastAsia="黑体"/>
          <w:sz w:val="32"/>
          <w:szCs w:val="32"/>
        </w:rPr>
        <w:t>二</w:t>
      </w:r>
      <w:r>
        <w:rPr>
          <w:rFonts w:ascii="Times New Roman" w:hAnsi="Times New Roman" w:eastAsia="黑体"/>
          <w:sz w:val="32"/>
          <w:szCs w:val="32"/>
        </w:rPr>
        <w:t>、监督部门信息</w:t>
      </w:r>
    </w:p>
    <w:p w14:paraId="2C5CE713">
      <w:pPr>
        <w:pStyle w:val="6"/>
        <w:spacing w:line="52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联系人：孙召贵</w:t>
      </w:r>
    </w:p>
    <w:p w14:paraId="628759BD">
      <w:pPr>
        <w:pStyle w:val="6"/>
        <w:spacing w:line="52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联系方式：</w:t>
      </w:r>
      <w:r>
        <w:rPr>
          <w:rFonts w:hint="eastAsia" w:ascii="Times New Roman" w:hAnsi="Times New Roman" w:eastAsia="仿宋_GB2312"/>
          <w:sz w:val="32"/>
          <w:szCs w:val="32"/>
          <w:lang w:val="en-US" w:eastAsia="zh-CN"/>
        </w:rPr>
        <w:t>0532-</w:t>
      </w:r>
      <w:bookmarkStart w:id="1" w:name="_GoBack"/>
      <w:bookmarkEnd w:id="1"/>
      <w:r>
        <w:rPr>
          <w:rFonts w:ascii="Times New Roman" w:hAnsi="Times New Roman" w:eastAsia="仿宋_GB2312"/>
          <w:sz w:val="32"/>
          <w:szCs w:val="32"/>
        </w:rPr>
        <w:t>88511362</w:t>
      </w:r>
    </w:p>
    <w:p w14:paraId="0D0E8E6D">
      <w:pPr>
        <w:pStyle w:val="6"/>
        <w:spacing w:line="52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如对本次采购有异议，请在公示期内同时向采购人及监督部门提出书面异议。</w:t>
      </w:r>
    </w:p>
    <w:p w14:paraId="2C33C827">
      <w:pPr>
        <w:pStyle w:val="6"/>
        <w:spacing w:line="520" w:lineRule="exact"/>
        <w:ind w:left="0" w:leftChars="0" w:firstLine="640" w:firstLineChars="200"/>
        <w:rPr>
          <w:rFonts w:ascii="Times New Roman" w:hAnsi="Times New Roman" w:eastAsia="仿宋_GB2312"/>
          <w:sz w:val="32"/>
          <w:szCs w:val="32"/>
        </w:rPr>
      </w:pPr>
    </w:p>
    <w:p w14:paraId="795161A9">
      <w:pPr>
        <w:pStyle w:val="6"/>
        <w:spacing w:line="520" w:lineRule="exact"/>
        <w:ind w:left="0" w:leftChars="0" w:firstLine="640" w:firstLineChars="200"/>
        <w:jc w:val="right"/>
        <w:rPr>
          <w:rFonts w:ascii="Times New Roman" w:hAnsi="Times New Roman" w:eastAsia="仿宋_GB2312"/>
          <w:sz w:val="32"/>
          <w:szCs w:val="32"/>
        </w:rPr>
      </w:pPr>
      <w:r>
        <w:rPr>
          <w:rFonts w:ascii="Times New Roman" w:hAnsi="Times New Roman" w:eastAsia="仿宋_GB2312"/>
          <w:sz w:val="32"/>
          <w:szCs w:val="32"/>
        </w:rPr>
        <w:t>青岛市即墨区农业农村局</w:t>
      </w:r>
    </w:p>
    <w:p w14:paraId="513765E8">
      <w:pPr>
        <w:pStyle w:val="6"/>
        <w:spacing w:line="520" w:lineRule="exact"/>
        <w:ind w:left="0" w:leftChars="0"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日</w:t>
      </w:r>
    </w:p>
    <w:p w14:paraId="2502E088">
      <w:pPr>
        <w:jc w:val="left"/>
        <w:rPr>
          <w:rFonts w:ascii="Times New Roman" w:hAnsi="Times New Roman" w:eastAsia="仿宋_GB2312"/>
          <w:sz w:val="32"/>
          <w:szCs w:val="32"/>
        </w:rPr>
      </w:pPr>
    </w:p>
    <w:p w14:paraId="0F42A3E8">
      <w:pPr>
        <w:jc w:val="left"/>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仿宋_GB2312"/>
          <w:sz w:val="32"/>
          <w:szCs w:val="32"/>
        </w:rPr>
        <w:t>附件1：</w:t>
      </w:r>
    </w:p>
    <w:p w14:paraId="17194563">
      <w:pPr>
        <w:spacing w:line="560" w:lineRule="exact"/>
        <w:jc w:val="center"/>
        <w:rPr>
          <w:rFonts w:ascii="Times New Roman" w:hAnsi="Times New Roman" w:eastAsia="黑体"/>
          <w:sz w:val="32"/>
          <w:szCs w:val="32"/>
        </w:rPr>
      </w:pPr>
      <w:r>
        <w:rPr>
          <w:rFonts w:ascii="Times New Roman" w:hAnsi="Times New Roman" w:eastAsia="黑体"/>
          <w:sz w:val="32"/>
          <w:szCs w:val="32"/>
        </w:rPr>
        <w:t>采样点位及检测项目指标说明</w:t>
      </w:r>
    </w:p>
    <w:p w14:paraId="0E3083BD">
      <w:pPr>
        <w:tabs>
          <w:tab w:val="left" w:pos="785"/>
        </w:tabs>
        <w:spacing w:line="560" w:lineRule="exact"/>
        <w:ind w:firstLine="640" w:firstLineChars="200"/>
        <w:rPr>
          <w:rFonts w:ascii="Times New Roman" w:hAnsi="Times New Roman" w:eastAsia="黑体"/>
          <w:sz w:val="32"/>
          <w:szCs w:val="32"/>
        </w:rPr>
      </w:pPr>
    </w:p>
    <w:p w14:paraId="0385994A">
      <w:pPr>
        <w:tabs>
          <w:tab w:val="left" w:pos="785"/>
        </w:tabs>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1.采样点位：</w:t>
      </w:r>
      <w:r>
        <w:rPr>
          <w:rFonts w:hint="eastAsia" w:ascii="Times New Roman" w:hAnsi="Times New Roman" w:eastAsia="仿宋_GB2312"/>
          <w:sz w:val="32"/>
          <w:szCs w:val="32"/>
        </w:rPr>
        <w:t xml:space="preserve"> 116</w:t>
      </w:r>
      <w:r>
        <w:rPr>
          <w:rFonts w:ascii="Times New Roman" w:hAnsi="Times New Roman" w:eastAsia="仿宋_GB2312"/>
          <w:sz w:val="32"/>
          <w:szCs w:val="32"/>
        </w:rPr>
        <w:t>个</w:t>
      </w:r>
    </w:p>
    <w:p w14:paraId="4FBE0424">
      <w:pPr>
        <w:tabs>
          <w:tab w:val="left" w:pos="785"/>
        </w:tabs>
        <w:spacing w:line="56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2.检测项目：</w:t>
      </w:r>
    </w:p>
    <w:p w14:paraId="08F94B8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w:t>
      </w:r>
      <w:r>
        <w:rPr>
          <w:rFonts w:ascii="仿宋_GB2312" w:eastAsia="仿宋_GB2312" w:cs="仿宋_GB2312"/>
          <w:sz w:val="32"/>
          <w:szCs w:val="32"/>
        </w:rPr>
        <w:t xml:space="preserve">NYT 2911-2016 </w:t>
      </w:r>
      <w:r>
        <w:rPr>
          <w:rFonts w:hint="eastAsia" w:ascii="仿宋_GB2312" w:eastAsia="仿宋_GB2312" w:cs="仿宋_GB2312"/>
          <w:sz w:val="32"/>
          <w:szCs w:val="32"/>
        </w:rPr>
        <w:t>测土配方施肥技术规程》，每个土壤样品理化指标化验</w:t>
      </w:r>
      <w:r>
        <w:rPr>
          <w:rFonts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项次，指标分别为：</w:t>
      </w:r>
      <w:r>
        <w:rPr>
          <w:rFonts w:hint="eastAsia" w:ascii="仿宋_GB2312" w:eastAsia="仿宋_GB2312" w:cs="仿宋_GB2312"/>
          <w:sz w:val="32"/>
          <w:szCs w:val="32"/>
          <w:lang w:val="en-US" w:eastAsia="zh-CN"/>
        </w:rPr>
        <w:t>容重、</w:t>
      </w:r>
      <w:r>
        <w:rPr>
          <w:rFonts w:ascii="仿宋_GB2312" w:eastAsia="仿宋_GB2312" w:cs="仿宋_GB2312"/>
          <w:sz w:val="32"/>
          <w:szCs w:val="32"/>
        </w:rPr>
        <w:t>pH</w:t>
      </w:r>
      <w:r>
        <w:rPr>
          <w:rFonts w:hint="eastAsia" w:ascii="仿宋_GB2312" w:eastAsia="仿宋_GB2312" w:cs="仿宋_GB2312"/>
          <w:sz w:val="32"/>
          <w:szCs w:val="32"/>
        </w:rPr>
        <w:t>、水溶性盐分总量、有机质、全氮、碱解氮、全磷、有效磷、全钾、缓效钾、速效钾、交换性钙、交换性镁、有效铁、有效锰、有效铜、有效锌、水溶态硼、有效钼、有效硫、有效硅。</w:t>
      </w:r>
    </w:p>
    <w:p w14:paraId="1CEAEB0F">
      <w:pPr>
        <w:spacing w:line="560" w:lineRule="exact"/>
        <w:ind w:left="420" w:leftChars="200" w:firstLine="320" w:firstLineChars="100"/>
        <w:rPr>
          <w:rFonts w:hint="eastAsia" w:ascii="Times New Roman" w:hAnsi="Times New Roman" w:eastAsia="黑体"/>
          <w:sz w:val="32"/>
          <w:szCs w:val="32"/>
        </w:rPr>
      </w:pPr>
      <w:r>
        <w:rPr>
          <w:rFonts w:hint="eastAsia" w:ascii="Times New Roman" w:hAnsi="Times New Roman" w:eastAsia="黑体"/>
          <w:sz w:val="32"/>
          <w:szCs w:val="32"/>
        </w:rPr>
        <w:t>3</w:t>
      </w:r>
      <w:r>
        <w:rPr>
          <w:rFonts w:ascii="Times New Roman" w:hAnsi="Times New Roman" w:eastAsia="黑体"/>
          <w:sz w:val="32"/>
          <w:szCs w:val="32"/>
        </w:rPr>
        <w:t>.</w:t>
      </w:r>
      <w:r>
        <w:rPr>
          <w:rFonts w:hint="eastAsia" w:ascii="Times New Roman" w:hAnsi="Times New Roman" w:eastAsia="黑体"/>
          <w:sz w:val="32"/>
          <w:szCs w:val="32"/>
        </w:rPr>
        <w:t>服务期限：20</w:t>
      </w:r>
      <w:r>
        <w:rPr>
          <w:rFonts w:hint="eastAsia" w:ascii="Times New Roman" w:hAnsi="Times New Roman" w:eastAsia="黑体"/>
          <w:sz w:val="32"/>
          <w:szCs w:val="32"/>
          <w:lang w:val="en-US" w:eastAsia="zh-CN"/>
        </w:rPr>
        <w:t>25</w:t>
      </w:r>
      <w:r>
        <w:rPr>
          <w:rFonts w:hint="eastAsia" w:ascii="Times New Roman" w:hAnsi="Times New Roman" w:eastAsia="黑体"/>
          <w:sz w:val="32"/>
          <w:szCs w:val="32"/>
        </w:rPr>
        <w:t>年12月30日前完成。</w:t>
      </w:r>
    </w:p>
    <w:p w14:paraId="6DF9B411">
      <w:pPr>
        <w:spacing w:line="560" w:lineRule="exact"/>
        <w:ind w:left="420" w:leftChars="200" w:firstLine="320" w:firstLineChars="100"/>
        <w:rPr>
          <w:rFonts w:ascii="Times New Roman" w:hAnsi="Times New Roman" w:eastAsia="黑体"/>
          <w:sz w:val="32"/>
          <w:szCs w:val="32"/>
        </w:rPr>
      </w:pPr>
      <w:r>
        <w:rPr>
          <w:rFonts w:hint="eastAsia" w:ascii="Times New Roman" w:hAnsi="Times New Roman" w:eastAsia="黑体"/>
          <w:sz w:val="32"/>
          <w:szCs w:val="32"/>
        </w:rPr>
        <w:t>4.</w:t>
      </w:r>
      <w:r>
        <w:rPr>
          <w:rFonts w:ascii="Times New Roman" w:hAnsi="Times New Roman" w:eastAsia="黑体"/>
          <w:sz w:val="32"/>
          <w:szCs w:val="32"/>
        </w:rPr>
        <w:t>报价</w:t>
      </w:r>
      <w:r>
        <w:rPr>
          <w:rFonts w:hint="eastAsia" w:ascii="Times New Roman" w:hAnsi="Times New Roman" w:eastAsia="黑体"/>
          <w:sz w:val="32"/>
          <w:szCs w:val="32"/>
        </w:rPr>
        <w:t>要求</w:t>
      </w:r>
    </w:p>
    <w:p w14:paraId="5D52903F">
      <w:pPr>
        <w:pStyle w:val="6"/>
        <w:spacing w:line="560" w:lineRule="exact"/>
        <w:ind w:left="0" w:leftChars="0" w:firstLine="640" w:firstLineChars="200"/>
        <w:rPr>
          <w:rFonts w:hint="eastAsia" w:ascii="仿宋_GB2312" w:eastAsia="仿宋_GB2312"/>
          <w:sz w:val="32"/>
          <w:szCs w:val="32"/>
        </w:rPr>
      </w:pPr>
      <w:r>
        <w:rPr>
          <w:rFonts w:hint="eastAsia" w:ascii="Times New Roman" w:hAnsi="Times New Roman" w:eastAsia="仿宋_GB2312"/>
          <w:sz w:val="32"/>
          <w:szCs w:val="32"/>
        </w:rPr>
        <w:t>4.1</w:t>
      </w:r>
      <w:r>
        <w:rPr>
          <w:rFonts w:ascii="Times New Roman" w:hAnsi="Times New Roman" w:eastAsia="仿宋_GB2312"/>
          <w:sz w:val="32"/>
          <w:szCs w:val="32"/>
        </w:rPr>
        <w:t>报价时，采样点位</w:t>
      </w:r>
      <w:r>
        <w:rPr>
          <w:rFonts w:hint="eastAsia" w:ascii="Times New Roman" w:hAnsi="Times New Roman" w:eastAsia="仿宋_GB2312"/>
          <w:sz w:val="32"/>
          <w:szCs w:val="32"/>
        </w:rPr>
        <w:t>116</w:t>
      </w:r>
      <w:r>
        <w:rPr>
          <w:rFonts w:ascii="Times New Roman" w:hAnsi="Times New Roman" w:eastAsia="仿宋_GB2312"/>
          <w:sz w:val="32"/>
          <w:szCs w:val="32"/>
        </w:rPr>
        <w:t>个</w:t>
      </w:r>
      <w:r>
        <w:rPr>
          <w:rFonts w:hint="eastAsia" w:ascii="Times New Roman" w:hAnsi="Times New Roman" w:eastAsia="仿宋_GB2312"/>
          <w:sz w:val="32"/>
          <w:szCs w:val="32"/>
        </w:rPr>
        <w:t>、化验项目不变，</w:t>
      </w:r>
      <w:r>
        <w:rPr>
          <w:rFonts w:ascii="Times New Roman" w:hAnsi="Times New Roman" w:eastAsia="仿宋_GB2312"/>
          <w:sz w:val="32"/>
          <w:szCs w:val="32"/>
        </w:rPr>
        <w:t>报</w:t>
      </w:r>
      <w:r>
        <w:rPr>
          <w:rFonts w:hint="eastAsia" w:ascii="Times New Roman" w:hAnsi="Times New Roman" w:eastAsia="仿宋_GB2312"/>
          <w:sz w:val="32"/>
          <w:szCs w:val="32"/>
        </w:rPr>
        <w:t>化验</w:t>
      </w:r>
      <w:r>
        <w:rPr>
          <w:rFonts w:ascii="Times New Roman" w:hAnsi="Times New Roman" w:eastAsia="仿宋_GB2312"/>
          <w:sz w:val="32"/>
          <w:szCs w:val="32"/>
        </w:rPr>
        <w:t>的</w:t>
      </w:r>
      <w:r>
        <w:rPr>
          <w:rFonts w:hint="eastAsia" w:ascii="Times New Roman" w:hAnsi="Times New Roman" w:eastAsia="仿宋_GB2312"/>
          <w:sz w:val="32"/>
          <w:szCs w:val="32"/>
        </w:rPr>
        <w:t>单价及总价。</w:t>
      </w:r>
    </w:p>
    <w:p w14:paraId="444DDFB8">
      <w:pPr>
        <w:pStyle w:val="6"/>
        <w:spacing w:line="560" w:lineRule="exact"/>
        <w:ind w:left="0" w:leftChars="0" w:firstLine="640" w:firstLineChars="200"/>
        <w:rPr>
          <w:rFonts w:ascii="Times New Roman" w:hAnsi="Times New Roman" w:eastAsia="仿宋_GB2312"/>
          <w:sz w:val="32"/>
          <w:szCs w:val="32"/>
        </w:rPr>
      </w:pPr>
      <w:r>
        <w:rPr>
          <w:rFonts w:hint="eastAsia" w:ascii="仿宋_GB2312" w:eastAsia="仿宋_GB2312"/>
          <w:sz w:val="32"/>
          <w:szCs w:val="32"/>
        </w:rPr>
        <w:t>4.2本项目为一次报价。</w:t>
      </w:r>
    </w:p>
    <w:p w14:paraId="0DE673F3">
      <w:pPr>
        <w:jc w:val="left"/>
        <w:rPr>
          <w:rFonts w:ascii="Times New Roman" w:hAnsi="Times New Roman" w:eastAsia="仿宋_GB2312"/>
          <w:sz w:val="32"/>
          <w:szCs w:val="32"/>
        </w:rPr>
      </w:pPr>
      <w:r>
        <w:rPr>
          <w:rFonts w:ascii="Times New Roman" w:hAnsi="Times New Roman" w:eastAsia="仿宋_GB2312"/>
          <w:sz w:val="32"/>
          <w:szCs w:val="32"/>
        </w:rPr>
        <w:br w:type="page"/>
      </w:r>
      <w:r>
        <w:rPr>
          <w:rFonts w:ascii="Times New Roman" w:hAnsi="Times New Roman" w:eastAsia="仿宋_GB2312"/>
          <w:sz w:val="32"/>
          <w:szCs w:val="32"/>
        </w:rPr>
        <w:t>附件2：</w:t>
      </w:r>
    </w:p>
    <w:p w14:paraId="102C4AE1">
      <w:pPr>
        <w:spacing w:line="560" w:lineRule="exact"/>
        <w:jc w:val="center"/>
        <w:rPr>
          <w:rFonts w:ascii="Times New Roman" w:hAnsi="Times New Roman" w:eastAsia="黑体"/>
          <w:sz w:val="32"/>
          <w:szCs w:val="32"/>
        </w:rPr>
      </w:pPr>
      <w:r>
        <w:rPr>
          <w:rFonts w:ascii="Times New Roman" w:hAnsi="Times New Roman" w:eastAsia="黑体"/>
          <w:sz w:val="32"/>
          <w:szCs w:val="32"/>
        </w:rPr>
        <w:t>评审因素和评分标准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174"/>
        <w:gridCol w:w="6481"/>
      </w:tblGrid>
      <w:tr w14:paraId="0FF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65" w:type="dxa"/>
            <w:vAlign w:val="center"/>
          </w:tcPr>
          <w:p w14:paraId="53BCF76E">
            <w:pPr>
              <w:jc w:val="center"/>
              <w:rPr>
                <w:rFonts w:ascii="Times New Roman" w:hAnsi="Times New Roman"/>
              </w:rPr>
            </w:pPr>
            <w:r>
              <w:rPr>
                <w:rFonts w:ascii="Times New Roman" w:hAnsi="Times New Roman"/>
              </w:rPr>
              <w:t>报价部分（</w:t>
            </w:r>
            <w:r>
              <w:rPr>
                <w:rFonts w:hint="eastAsia" w:ascii="Times New Roman" w:hAnsi="Times New Roman"/>
              </w:rPr>
              <w:t>2</w:t>
            </w:r>
            <w:r>
              <w:rPr>
                <w:rFonts w:ascii="Times New Roman" w:hAnsi="Times New Roman"/>
              </w:rPr>
              <w:t>0）</w:t>
            </w:r>
          </w:p>
        </w:tc>
        <w:tc>
          <w:tcPr>
            <w:tcW w:w="1174" w:type="dxa"/>
            <w:vAlign w:val="center"/>
          </w:tcPr>
          <w:p w14:paraId="09960460">
            <w:pPr>
              <w:jc w:val="center"/>
              <w:rPr>
                <w:rFonts w:ascii="Times New Roman" w:hAnsi="Times New Roman"/>
              </w:rPr>
            </w:pPr>
            <w:r>
              <w:rPr>
                <w:rFonts w:ascii="Times New Roman" w:hAnsi="Times New Roman"/>
              </w:rPr>
              <w:t>（</w:t>
            </w:r>
            <w:r>
              <w:rPr>
                <w:rFonts w:hint="eastAsia" w:ascii="Times New Roman" w:hAnsi="Times New Roman"/>
              </w:rPr>
              <w:t>20</w:t>
            </w:r>
            <w:r>
              <w:rPr>
                <w:rFonts w:ascii="Times New Roman" w:hAnsi="Times New Roman"/>
              </w:rPr>
              <w:t>）</w:t>
            </w:r>
          </w:p>
        </w:tc>
        <w:tc>
          <w:tcPr>
            <w:tcW w:w="6481" w:type="dxa"/>
            <w:vAlign w:val="center"/>
          </w:tcPr>
          <w:p w14:paraId="08F8B87D">
            <w:pPr>
              <w:ind w:left="420" w:leftChars="200"/>
              <w:rPr>
                <w:rFonts w:hint="eastAsia" w:ascii="宋体" w:hAnsi="宋体" w:cs="宋体"/>
                <w:szCs w:val="21"/>
              </w:rPr>
            </w:pPr>
            <w:r>
              <w:rPr>
                <w:rFonts w:hint="eastAsia" w:ascii="宋体" w:hAnsi="宋体" w:cs="宋体"/>
                <w:szCs w:val="21"/>
              </w:rPr>
              <w:t>满足采购文件要求且投标价格最低的投标报价为评标基准价，其</w:t>
            </w:r>
          </w:p>
          <w:p w14:paraId="492E5F0C">
            <w:pPr>
              <w:rPr>
                <w:rFonts w:hint="eastAsia" w:ascii="宋体" w:hAnsi="宋体" w:cs="宋体"/>
                <w:szCs w:val="21"/>
              </w:rPr>
            </w:pPr>
            <w:r>
              <w:rPr>
                <w:rFonts w:hint="eastAsia" w:ascii="宋体" w:hAnsi="宋体" w:cs="宋体"/>
                <w:szCs w:val="21"/>
              </w:rPr>
              <w:t>价格分为满分（20分）。其他服务商的价格统一按照下列公式计算：投标报价得分＝（评标基准价／投标报价）×20分。</w:t>
            </w:r>
          </w:p>
          <w:p w14:paraId="53004AB7">
            <w:pPr>
              <w:ind w:firstLine="420" w:firstLineChars="200"/>
              <w:rPr>
                <w:rFonts w:ascii="Times New Roman" w:hAnsi="Times New Roman"/>
              </w:rPr>
            </w:pPr>
            <w:r>
              <w:rPr>
                <w:rFonts w:hint="eastAsia" w:ascii="宋体" w:hAnsi="宋体" w:cs="宋体"/>
                <w:szCs w:val="21"/>
              </w:rPr>
              <w:t>若服务商的投标报价高于采购预算，其投标报价将做无效报价处理，若所有服务商的投标报价均超出采购预算，本项目将做废标处理</w:t>
            </w:r>
          </w:p>
        </w:tc>
      </w:tr>
      <w:tr w14:paraId="5DFA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65" w:type="dxa"/>
            <w:vMerge w:val="restart"/>
            <w:vAlign w:val="center"/>
          </w:tcPr>
          <w:p w14:paraId="1F6F4832">
            <w:pPr>
              <w:jc w:val="center"/>
              <w:rPr>
                <w:rFonts w:ascii="Times New Roman" w:hAnsi="Times New Roman"/>
              </w:rPr>
            </w:pPr>
            <w:r>
              <w:rPr>
                <w:rFonts w:ascii="Times New Roman" w:hAnsi="Times New Roman"/>
              </w:rPr>
              <w:t>商务部分（</w:t>
            </w:r>
            <w:r>
              <w:rPr>
                <w:rFonts w:hint="eastAsia" w:ascii="Times New Roman" w:hAnsi="Times New Roman"/>
              </w:rPr>
              <w:t>30</w:t>
            </w:r>
            <w:r>
              <w:rPr>
                <w:rFonts w:ascii="Times New Roman" w:hAnsi="Times New Roman"/>
              </w:rPr>
              <w:t>）</w:t>
            </w:r>
          </w:p>
        </w:tc>
        <w:tc>
          <w:tcPr>
            <w:tcW w:w="1174" w:type="dxa"/>
            <w:vAlign w:val="center"/>
          </w:tcPr>
          <w:p w14:paraId="08F3DC22">
            <w:pPr>
              <w:jc w:val="center"/>
              <w:rPr>
                <w:rFonts w:ascii="Times New Roman" w:hAnsi="Times New Roman"/>
              </w:rPr>
            </w:pPr>
            <w:r>
              <w:rPr>
                <w:rFonts w:ascii="Times New Roman" w:hAnsi="Times New Roman"/>
              </w:rPr>
              <w:t>企业业绩（</w:t>
            </w:r>
            <w:r>
              <w:rPr>
                <w:rFonts w:hint="eastAsia" w:ascii="Times New Roman" w:hAnsi="Times New Roman"/>
              </w:rPr>
              <w:t>2</w:t>
            </w:r>
            <w:r>
              <w:rPr>
                <w:rFonts w:ascii="Times New Roman" w:hAnsi="Times New Roman"/>
              </w:rPr>
              <w:t>0）</w:t>
            </w:r>
          </w:p>
        </w:tc>
        <w:tc>
          <w:tcPr>
            <w:tcW w:w="6481" w:type="dxa"/>
            <w:vAlign w:val="center"/>
          </w:tcPr>
          <w:p w14:paraId="5EB995C3">
            <w:pPr>
              <w:ind w:firstLine="420" w:firstLineChars="200"/>
              <w:rPr>
                <w:rFonts w:hint="eastAsia" w:ascii="Times New Roman" w:hAnsi="Times New Roman"/>
              </w:rPr>
            </w:pPr>
            <w:r>
              <w:rPr>
                <w:rFonts w:hint="eastAsia" w:ascii="Times New Roman" w:hAnsi="Times New Roman"/>
              </w:rPr>
              <w:t>服务商</w:t>
            </w:r>
            <w:r>
              <w:rPr>
                <w:rFonts w:ascii="Times New Roman" w:hAnsi="Times New Roman"/>
              </w:rPr>
              <w:t xml:space="preserve">自 2019年 1月1日以来承担土肥系统土壤检测的同类型项目，每提供 1份得 2分，最高得 </w:t>
            </w:r>
            <w:r>
              <w:rPr>
                <w:rFonts w:hint="eastAsia" w:ascii="Times New Roman" w:hAnsi="Times New Roman"/>
              </w:rPr>
              <w:t>2</w:t>
            </w:r>
            <w:r>
              <w:rPr>
                <w:rFonts w:ascii="Times New Roman" w:hAnsi="Times New Roman"/>
              </w:rPr>
              <w:t>0分。</w:t>
            </w:r>
          </w:p>
          <w:p w14:paraId="31AD32CD">
            <w:pPr>
              <w:pStyle w:val="2"/>
              <w:ind w:firstLine="420"/>
            </w:pPr>
            <w:r>
              <w:rPr>
                <w:rFonts w:hint="eastAsia"/>
              </w:rPr>
              <w:t>须提供合同复印件，项目承接时间以合同签订时间为准。</w:t>
            </w:r>
          </w:p>
        </w:tc>
      </w:tr>
      <w:tr w14:paraId="7616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65" w:type="dxa"/>
            <w:vMerge w:val="continue"/>
            <w:vAlign w:val="center"/>
          </w:tcPr>
          <w:p w14:paraId="76887D21">
            <w:pPr>
              <w:jc w:val="center"/>
              <w:rPr>
                <w:rFonts w:ascii="Times New Roman" w:hAnsi="Times New Roman"/>
              </w:rPr>
            </w:pPr>
          </w:p>
        </w:tc>
        <w:tc>
          <w:tcPr>
            <w:tcW w:w="1174" w:type="dxa"/>
            <w:vAlign w:val="center"/>
          </w:tcPr>
          <w:p w14:paraId="476E2791">
            <w:pPr>
              <w:jc w:val="center"/>
              <w:rPr>
                <w:rFonts w:ascii="Times New Roman" w:hAnsi="Times New Roman"/>
              </w:rPr>
            </w:pPr>
            <w:r>
              <w:rPr>
                <w:rFonts w:ascii="Times New Roman" w:hAnsi="Times New Roman"/>
              </w:rPr>
              <w:t>企业</w:t>
            </w:r>
            <w:r>
              <w:rPr>
                <w:rFonts w:hint="eastAsia" w:ascii="Times New Roman" w:hAnsi="Times New Roman"/>
              </w:rPr>
              <w:t>实力</w:t>
            </w:r>
            <w:r>
              <w:rPr>
                <w:rFonts w:ascii="Times New Roman" w:hAnsi="Times New Roman"/>
              </w:rPr>
              <w:t>（</w:t>
            </w:r>
            <w:r>
              <w:rPr>
                <w:rFonts w:hint="eastAsia" w:ascii="Times New Roman" w:hAnsi="Times New Roman"/>
              </w:rPr>
              <w:t>10</w:t>
            </w:r>
            <w:r>
              <w:rPr>
                <w:rFonts w:ascii="Times New Roman" w:hAnsi="Times New Roman"/>
              </w:rPr>
              <w:t>）</w:t>
            </w:r>
          </w:p>
        </w:tc>
        <w:tc>
          <w:tcPr>
            <w:tcW w:w="6481" w:type="dxa"/>
            <w:vAlign w:val="center"/>
          </w:tcPr>
          <w:p w14:paraId="13EDDCD2">
            <w:pPr>
              <w:rPr>
                <w:rFonts w:ascii="Times New Roman" w:hAnsi="Times New Roman"/>
              </w:rPr>
            </w:pPr>
            <w:r>
              <w:rPr>
                <w:rFonts w:hint="eastAsia" w:ascii="Times New Roman" w:hAnsi="Times New Roman"/>
              </w:rPr>
              <w:t>服务商通过农业农村部耕地质量标准化实验室考核得5；通过山东省土壤肥料总站组织的测土配方项目委托检验现场考核合格的，得5分。</w:t>
            </w:r>
          </w:p>
        </w:tc>
      </w:tr>
      <w:tr w14:paraId="208E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65" w:type="dxa"/>
            <w:vMerge w:val="restart"/>
            <w:vAlign w:val="center"/>
          </w:tcPr>
          <w:p w14:paraId="0A0EE9D8">
            <w:pPr>
              <w:autoSpaceDE w:val="0"/>
              <w:autoSpaceDN w:val="0"/>
              <w:adjustRightInd w:val="0"/>
              <w:spacing w:line="360" w:lineRule="auto"/>
              <w:rPr>
                <w:rFonts w:ascii="Times New Roman" w:hAnsi="Times New Roman"/>
              </w:rPr>
            </w:pPr>
            <w:r>
              <w:rPr>
                <w:rFonts w:ascii="Times New Roman" w:hAnsi="Times New Roman"/>
              </w:rPr>
              <w:t>技术部分（</w:t>
            </w:r>
            <w:r>
              <w:rPr>
                <w:rFonts w:hint="eastAsia" w:ascii="Times New Roman" w:hAnsi="Times New Roman"/>
              </w:rPr>
              <w:t>50</w:t>
            </w:r>
            <w:r>
              <w:rPr>
                <w:rFonts w:ascii="Times New Roman" w:hAnsi="Times New Roman"/>
              </w:rPr>
              <w:t>）</w:t>
            </w:r>
          </w:p>
        </w:tc>
        <w:tc>
          <w:tcPr>
            <w:tcW w:w="1174" w:type="dxa"/>
            <w:vAlign w:val="center"/>
          </w:tcPr>
          <w:p w14:paraId="5FD0B20F">
            <w:pPr>
              <w:autoSpaceDE w:val="0"/>
              <w:autoSpaceDN w:val="0"/>
              <w:adjustRightInd w:val="0"/>
              <w:spacing w:line="360" w:lineRule="auto"/>
              <w:rPr>
                <w:rFonts w:ascii="Times New Roman" w:hAnsi="Times New Roman"/>
              </w:rPr>
            </w:pPr>
            <w:r>
              <w:rPr>
                <w:rFonts w:ascii="Times New Roman" w:hAnsi="Times New Roman"/>
              </w:rPr>
              <w:t>投入设备仪器（</w:t>
            </w:r>
            <w:r>
              <w:rPr>
                <w:rFonts w:hint="eastAsia" w:ascii="Times New Roman" w:hAnsi="Times New Roman"/>
              </w:rPr>
              <w:t>5</w:t>
            </w:r>
            <w:r>
              <w:rPr>
                <w:rFonts w:ascii="Times New Roman" w:hAnsi="Times New Roman"/>
              </w:rPr>
              <w:t>）</w:t>
            </w:r>
          </w:p>
        </w:tc>
        <w:tc>
          <w:tcPr>
            <w:tcW w:w="6481" w:type="dxa"/>
            <w:vAlign w:val="center"/>
          </w:tcPr>
          <w:p w14:paraId="5194D4AE">
            <w:pPr>
              <w:ind w:firstLine="420" w:firstLineChars="200"/>
              <w:rPr>
                <w:rFonts w:ascii="Times New Roman" w:hAnsi="Times New Roman"/>
              </w:rPr>
            </w:pPr>
            <w:r>
              <w:rPr>
                <w:rFonts w:ascii="Times New Roman" w:hAnsi="Times New Roman"/>
              </w:rPr>
              <w:t xml:space="preserve">根据供应商拟配备检测仪器设备进行评审。仪器设备的发票和校准证书齐全，完全胜任本项目需求，得 </w:t>
            </w:r>
            <w:r>
              <w:rPr>
                <w:rFonts w:hint="eastAsia" w:ascii="Times New Roman" w:hAnsi="Times New Roman"/>
              </w:rPr>
              <w:t>3-5</w:t>
            </w:r>
            <w:r>
              <w:rPr>
                <w:rFonts w:ascii="Times New Roman" w:hAnsi="Times New Roman"/>
              </w:rPr>
              <w:t xml:space="preserve"> 分，提供仪器基本齐全</w:t>
            </w:r>
            <w:r>
              <w:rPr>
                <w:rFonts w:hint="eastAsia" w:ascii="Times New Roman" w:hAnsi="Times New Roman"/>
              </w:rPr>
              <w:t>1-3</w:t>
            </w:r>
            <w:r>
              <w:rPr>
                <w:rFonts w:ascii="Times New Roman" w:hAnsi="Times New Roman"/>
              </w:rPr>
              <w:t>分，不提供不得分。</w:t>
            </w:r>
          </w:p>
        </w:tc>
      </w:tr>
      <w:tr w14:paraId="5458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65" w:type="dxa"/>
            <w:vMerge w:val="continue"/>
            <w:vAlign w:val="center"/>
          </w:tcPr>
          <w:p w14:paraId="1BEB0991">
            <w:pPr>
              <w:autoSpaceDE w:val="0"/>
              <w:autoSpaceDN w:val="0"/>
              <w:adjustRightInd w:val="0"/>
              <w:spacing w:line="360" w:lineRule="auto"/>
              <w:ind w:firstLine="480"/>
              <w:rPr>
                <w:rFonts w:ascii="Times New Roman" w:hAnsi="Times New Roman"/>
              </w:rPr>
            </w:pPr>
          </w:p>
        </w:tc>
        <w:tc>
          <w:tcPr>
            <w:tcW w:w="1174" w:type="dxa"/>
            <w:vAlign w:val="center"/>
          </w:tcPr>
          <w:p w14:paraId="6F9396FB">
            <w:pPr>
              <w:autoSpaceDE w:val="0"/>
              <w:autoSpaceDN w:val="0"/>
              <w:adjustRightInd w:val="0"/>
              <w:spacing w:line="360" w:lineRule="auto"/>
              <w:jc w:val="center"/>
              <w:rPr>
                <w:rFonts w:ascii="Times New Roman" w:hAnsi="Times New Roman"/>
              </w:rPr>
            </w:pPr>
            <w:r>
              <w:rPr>
                <w:rFonts w:ascii="Times New Roman" w:hAnsi="Times New Roman"/>
              </w:rPr>
              <w:t>实施方案（</w:t>
            </w:r>
            <w:r>
              <w:rPr>
                <w:rFonts w:hint="eastAsia" w:ascii="Times New Roman" w:hAnsi="Times New Roman"/>
              </w:rPr>
              <w:t>25</w:t>
            </w:r>
            <w:r>
              <w:rPr>
                <w:rFonts w:ascii="Times New Roman" w:hAnsi="Times New Roman"/>
              </w:rPr>
              <w:t>）</w:t>
            </w:r>
          </w:p>
        </w:tc>
        <w:tc>
          <w:tcPr>
            <w:tcW w:w="6481" w:type="dxa"/>
            <w:vAlign w:val="center"/>
          </w:tcPr>
          <w:p w14:paraId="5E5C7624">
            <w:pPr>
              <w:rPr>
                <w:rFonts w:hint="eastAsia" w:ascii="Times New Roman" w:hAnsi="Times New Roman"/>
              </w:rPr>
            </w:pPr>
          </w:p>
          <w:p w14:paraId="48E053C4">
            <w:pPr>
              <w:autoSpaceDE w:val="0"/>
              <w:autoSpaceDN w:val="0"/>
              <w:adjustRightInd w:val="0"/>
              <w:spacing w:line="360" w:lineRule="auto"/>
              <w:ind w:firstLine="480"/>
              <w:rPr>
                <w:rFonts w:hint="eastAsia" w:ascii="Times New Roman" w:hAnsi="Times New Roman"/>
              </w:rPr>
            </w:pPr>
            <w:r>
              <w:rPr>
                <w:rFonts w:hint="eastAsia" w:ascii="Times New Roman" w:hAnsi="Times New Roman"/>
              </w:rPr>
              <w:t>整体服务方案优于采购文件各项要求的，得5-1分；</w:t>
            </w:r>
          </w:p>
          <w:p w14:paraId="448FEE33">
            <w:pPr>
              <w:autoSpaceDE w:val="0"/>
              <w:autoSpaceDN w:val="0"/>
              <w:adjustRightInd w:val="0"/>
              <w:spacing w:line="360" w:lineRule="auto"/>
              <w:ind w:firstLine="480"/>
              <w:rPr>
                <w:rFonts w:ascii="Times New Roman" w:hAnsi="Times New Roman"/>
              </w:rPr>
            </w:pPr>
            <w:r>
              <w:rPr>
                <w:rFonts w:hint="eastAsia" w:ascii="Times New Roman" w:hAnsi="Times New Roman"/>
              </w:rPr>
              <w:t>针对本项目提供的质控措施、数据上报方案详细明确，科学有效，可操作性强的，得5-1分；</w:t>
            </w:r>
          </w:p>
          <w:p w14:paraId="483B87FE">
            <w:pPr>
              <w:autoSpaceDE w:val="0"/>
              <w:autoSpaceDN w:val="0"/>
              <w:adjustRightInd w:val="0"/>
              <w:spacing w:line="360" w:lineRule="auto"/>
              <w:ind w:firstLine="480"/>
              <w:rPr>
                <w:rFonts w:hint="eastAsia" w:ascii="Times New Roman" w:hAnsi="Times New Roman"/>
              </w:rPr>
            </w:pPr>
            <w:r>
              <w:rPr>
                <w:rFonts w:hint="eastAsia" w:ascii="Times New Roman" w:hAnsi="Times New Roman"/>
              </w:rPr>
              <w:t>采样方法、分析方法合理，得</w:t>
            </w:r>
            <w:r>
              <w:rPr>
                <w:rFonts w:ascii="Times New Roman" w:hAnsi="Times New Roman"/>
              </w:rPr>
              <w:t>5</w:t>
            </w:r>
            <w:r>
              <w:rPr>
                <w:rFonts w:hint="eastAsia" w:ascii="Times New Roman" w:hAnsi="Times New Roman"/>
              </w:rPr>
              <w:t>-1分；</w:t>
            </w:r>
          </w:p>
          <w:p w14:paraId="05CDF2F4">
            <w:pPr>
              <w:autoSpaceDE w:val="0"/>
              <w:autoSpaceDN w:val="0"/>
              <w:adjustRightInd w:val="0"/>
              <w:spacing w:line="360" w:lineRule="auto"/>
              <w:ind w:firstLine="480"/>
              <w:rPr>
                <w:rFonts w:hint="eastAsia" w:ascii="Times New Roman" w:hAnsi="Times New Roman"/>
              </w:rPr>
            </w:pPr>
            <w:r>
              <w:rPr>
                <w:rFonts w:hint="eastAsia" w:ascii="Times New Roman" w:hAnsi="Times New Roman"/>
              </w:rPr>
              <w:t>针对现场检测可能出现的各类问题，供应商提出的工作预案及措施有效可行、完整得力的，得5-1分；</w:t>
            </w:r>
          </w:p>
          <w:p w14:paraId="39D048C6">
            <w:pPr>
              <w:autoSpaceDE w:val="0"/>
              <w:autoSpaceDN w:val="0"/>
              <w:adjustRightInd w:val="0"/>
              <w:spacing w:line="360" w:lineRule="auto"/>
              <w:ind w:firstLine="480"/>
            </w:pPr>
            <w:r>
              <w:rPr>
                <w:rFonts w:hint="eastAsia" w:ascii="Times New Roman" w:hAnsi="Times New Roman"/>
              </w:rPr>
              <w:t>人员配备合理，工作分工明确的，得</w:t>
            </w:r>
            <w:r>
              <w:rPr>
                <w:rFonts w:ascii="Times New Roman" w:hAnsi="Times New Roman"/>
              </w:rPr>
              <w:t>5</w:t>
            </w:r>
            <w:r>
              <w:rPr>
                <w:rFonts w:hint="eastAsia" w:ascii="Times New Roman" w:hAnsi="Times New Roman"/>
              </w:rPr>
              <w:t>-1分。</w:t>
            </w:r>
          </w:p>
        </w:tc>
      </w:tr>
      <w:tr w14:paraId="0F09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65" w:type="dxa"/>
            <w:vMerge w:val="continue"/>
            <w:vAlign w:val="center"/>
          </w:tcPr>
          <w:p w14:paraId="11C40EE8">
            <w:pPr>
              <w:jc w:val="center"/>
              <w:rPr>
                <w:rFonts w:ascii="Times New Roman" w:hAnsi="Times New Roman"/>
              </w:rPr>
            </w:pPr>
          </w:p>
        </w:tc>
        <w:tc>
          <w:tcPr>
            <w:tcW w:w="1174" w:type="dxa"/>
            <w:vAlign w:val="center"/>
          </w:tcPr>
          <w:p w14:paraId="22C1AA13">
            <w:pPr>
              <w:autoSpaceDE w:val="0"/>
              <w:autoSpaceDN w:val="0"/>
              <w:adjustRightInd w:val="0"/>
              <w:spacing w:line="360" w:lineRule="auto"/>
              <w:jc w:val="center"/>
              <w:rPr>
                <w:rFonts w:hint="eastAsia" w:ascii="Times New Roman" w:hAnsi="Times New Roman"/>
              </w:rPr>
            </w:pPr>
            <w:r>
              <w:rPr>
                <w:rFonts w:hint="eastAsia" w:ascii="Times New Roman" w:hAnsi="Times New Roman"/>
              </w:rPr>
              <w:t>服务定位</w:t>
            </w:r>
          </w:p>
          <w:p w14:paraId="63479E37">
            <w:pPr>
              <w:pStyle w:val="2"/>
              <w:ind w:firstLine="199" w:firstLineChars="95"/>
            </w:pPr>
            <w:r>
              <w:rPr>
                <w:rFonts w:hint="eastAsia"/>
              </w:rPr>
              <w:t>（5）</w:t>
            </w:r>
          </w:p>
        </w:tc>
        <w:tc>
          <w:tcPr>
            <w:tcW w:w="6481" w:type="dxa"/>
            <w:vAlign w:val="center"/>
          </w:tcPr>
          <w:p w14:paraId="3E826220">
            <w:pPr>
              <w:autoSpaceDE w:val="0"/>
              <w:autoSpaceDN w:val="0"/>
              <w:adjustRightInd w:val="0"/>
              <w:spacing w:line="360" w:lineRule="auto"/>
              <w:ind w:firstLine="480"/>
              <w:rPr>
                <w:rFonts w:ascii="Times New Roman" w:hAnsi="Times New Roman"/>
              </w:rPr>
            </w:pPr>
            <w:r>
              <w:rPr>
                <w:rFonts w:hint="eastAsia" w:ascii="Times New Roman" w:hAnsi="Times New Roman"/>
              </w:rPr>
              <w:t>从服务好采购人角度出发对项目的整体统筹规划、认识深刻、定位合理的，得5-1分。</w:t>
            </w:r>
          </w:p>
        </w:tc>
      </w:tr>
      <w:tr w14:paraId="3F73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65" w:type="dxa"/>
            <w:vMerge w:val="continue"/>
            <w:vAlign w:val="center"/>
          </w:tcPr>
          <w:p w14:paraId="2B06A37F">
            <w:pPr>
              <w:jc w:val="center"/>
              <w:rPr>
                <w:rFonts w:ascii="Times New Roman" w:hAnsi="Times New Roman"/>
              </w:rPr>
            </w:pPr>
          </w:p>
        </w:tc>
        <w:tc>
          <w:tcPr>
            <w:tcW w:w="1174" w:type="dxa"/>
            <w:vAlign w:val="center"/>
          </w:tcPr>
          <w:p w14:paraId="573C89FB">
            <w:pPr>
              <w:autoSpaceDE w:val="0"/>
              <w:autoSpaceDN w:val="0"/>
              <w:adjustRightInd w:val="0"/>
              <w:spacing w:line="360" w:lineRule="auto"/>
              <w:jc w:val="center"/>
              <w:rPr>
                <w:rFonts w:hint="eastAsia" w:ascii="Times New Roman" w:hAnsi="Times New Roman"/>
              </w:rPr>
            </w:pPr>
            <w:r>
              <w:rPr>
                <w:rFonts w:hint="eastAsia" w:ascii="Times New Roman" w:hAnsi="Times New Roman"/>
              </w:rPr>
              <w:t>应急方案</w:t>
            </w:r>
          </w:p>
          <w:p w14:paraId="66C80070">
            <w:pPr>
              <w:pStyle w:val="2"/>
              <w:ind w:firstLine="199" w:firstLineChars="95"/>
            </w:pPr>
            <w:r>
              <w:rPr>
                <w:rFonts w:hint="eastAsia"/>
              </w:rPr>
              <w:t>（5）</w:t>
            </w:r>
          </w:p>
        </w:tc>
        <w:tc>
          <w:tcPr>
            <w:tcW w:w="6481" w:type="dxa"/>
            <w:vAlign w:val="center"/>
          </w:tcPr>
          <w:p w14:paraId="3C17BCD9">
            <w:pPr>
              <w:autoSpaceDE w:val="0"/>
              <w:autoSpaceDN w:val="0"/>
              <w:adjustRightInd w:val="0"/>
              <w:spacing w:line="360" w:lineRule="auto"/>
              <w:ind w:firstLine="480"/>
              <w:rPr>
                <w:rFonts w:ascii="Times New Roman" w:hAnsi="Times New Roman"/>
              </w:rPr>
            </w:pPr>
            <w:r>
              <w:rPr>
                <w:rFonts w:hint="eastAsia" w:ascii="Times New Roman" w:hAnsi="Times New Roman"/>
              </w:rPr>
              <w:t>有完善的应急临时响应预案，其中需要有设备及试剂配比流程、路程所需时间，样品采集后应急分析时间，得5-1分。无完善可行的应急方案不得分。</w:t>
            </w:r>
          </w:p>
        </w:tc>
      </w:tr>
      <w:tr w14:paraId="0CF8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65" w:type="dxa"/>
            <w:vMerge w:val="continue"/>
            <w:vAlign w:val="center"/>
          </w:tcPr>
          <w:p w14:paraId="693520B0">
            <w:pPr>
              <w:jc w:val="center"/>
              <w:rPr>
                <w:rFonts w:ascii="Times New Roman" w:hAnsi="Times New Roman"/>
              </w:rPr>
            </w:pPr>
          </w:p>
        </w:tc>
        <w:tc>
          <w:tcPr>
            <w:tcW w:w="1174" w:type="dxa"/>
            <w:vAlign w:val="center"/>
          </w:tcPr>
          <w:p w14:paraId="38015C4A">
            <w:pPr>
              <w:autoSpaceDE w:val="0"/>
              <w:autoSpaceDN w:val="0"/>
              <w:adjustRightInd w:val="0"/>
              <w:spacing w:line="360" w:lineRule="auto"/>
              <w:jc w:val="center"/>
              <w:rPr>
                <w:rFonts w:hint="eastAsia" w:ascii="Times New Roman" w:hAnsi="Times New Roman"/>
              </w:rPr>
            </w:pPr>
            <w:r>
              <w:rPr>
                <w:rFonts w:hint="eastAsia" w:ascii="Times New Roman" w:hAnsi="Times New Roman"/>
              </w:rPr>
              <w:t>服务保证</w:t>
            </w:r>
          </w:p>
          <w:p w14:paraId="6F77CCF3">
            <w:pPr>
              <w:autoSpaceDE w:val="0"/>
              <w:autoSpaceDN w:val="0"/>
              <w:adjustRightInd w:val="0"/>
              <w:spacing w:line="360" w:lineRule="auto"/>
              <w:jc w:val="center"/>
              <w:rPr>
                <w:rFonts w:hint="eastAsia" w:ascii="Times New Roman" w:hAnsi="Times New Roman"/>
              </w:rPr>
            </w:pPr>
            <w:r>
              <w:rPr>
                <w:rFonts w:hint="eastAsia" w:ascii="Times New Roman" w:hAnsi="Times New Roman"/>
              </w:rPr>
              <w:t>措施</w:t>
            </w:r>
          </w:p>
          <w:p w14:paraId="02A4C05C">
            <w:pPr>
              <w:pStyle w:val="2"/>
              <w:ind w:firstLine="0" w:firstLineChars="0"/>
              <w:jc w:val="center"/>
            </w:pPr>
            <w:r>
              <w:rPr>
                <w:rFonts w:hint="eastAsia"/>
              </w:rPr>
              <w:t>（10）</w:t>
            </w:r>
          </w:p>
        </w:tc>
        <w:tc>
          <w:tcPr>
            <w:tcW w:w="6481" w:type="dxa"/>
            <w:vAlign w:val="center"/>
          </w:tcPr>
          <w:p w14:paraId="56967F18">
            <w:pPr>
              <w:autoSpaceDE w:val="0"/>
              <w:autoSpaceDN w:val="0"/>
              <w:adjustRightInd w:val="0"/>
              <w:spacing w:line="360" w:lineRule="auto"/>
              <w:ind w:firstLine="480"/>
              <w:rPr>
                <w:rFonts w:hint="eastAsia" w:ascii="Times New Roman" w:hAnsi="Times New Roman"/>
              </w:rPr>
            </w:pPr>
            <w:r>
              <w:rPr>
                <w:rFonts w:hint="eastAsia" w:ascii="Times New Roman" w:hAnsi="Times New Roman"/>
              </w:rPr>
              <w:t>供应商组织机构及服务质量保证措施、保密措施等能做到机构健全，建立完整的工作台帐、工作信息收集、反馈等客户质量保证措施，得6-1分；</w:t>
            </w:r>
          </w:p>
          <w:p w14:paraId="5D1C3A69">
            <w:pPr>
              <w:autoSpaceDE w:val="0"/>
              <w:autoSpaceDN w:val="0"/>
              <w:adjustRightInd w:val="0"/>
              <w:spacing w:line="360" w:lineRule="auto"/>
              <w:ind w:firstLine="480"/>
              <w:rPr>
                <w:rFonts w:hint="eastAsia" w:ascii="Times New Roman" w:hAnsi="Times New Roman"/>
              </w:rPr>
            </w:pPr>
            <w:r>
              <w:rPr>
                <w:rFonts w:hint="eastAsia" w:ascii="Times New Roman" w:hAnsi="Times New Roman"/>
              </w:rPr>
              <w:t>根据服务时间响应情况打分，得4-1分。</w:t>
            </w:r>
          </w:p>
        </w:tc>
      </w:tr>
    </w:tbl>
    <w:p w14:paraId="4243D50A">
      <w:pPr>
        <w:rPr>
          <w:rFonts w:ascii="Times New Roman" w:hAnsi="Times New Roman"/>
        </w:rPr>
      </w:pPr>
      <w:r>
        <w:rPr>
          <w:rFonts w:ascii="Times New Roman" w:hAnsi="Times New Roman"/>
          <w:b/>
          <w:bCs/>
          <w:color w:val="FF0000"/>
        </w:rPr>
        <w:t>以上所有材料无需原件，复印件加盖公章即可。</w:t>
      </w: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xZGM1Yjg0NDMxN2Q3Mjc4ZWIxNjUwNGUxYmQzMzQifQ=="/>
  </w:docVars>
  <w:rsids>
    <w:rsidRoot w:val="00946C1A"/>
    <w:rsid w:val="000B7096"/>
    <w:rsid w:val="000C6BA3"/>
    <w:rsid w:val="000E2C62"/>
    <w:rsid w:val="00132C02"/>
    <w:rsid w:val="0016596B"/>
    <w:rsid w:val="001837CD"/>
    <w:rsid w:val="001A5134"/>
    <w:rsid w:val="001F0CDA"/>
    <w:rsid w:val="001F5FB9"/>
    <w:rsid w:val="00216F51"/>
    <w:rsid w:val="00227A37"/>
    <w:rsid w:val="00230BCD"/>
    <w:rsid w:val="00251506"/>
    <w:rsid w:val="002558FD"/>
    <w:rsid w:val="0028239C"/>
    <w:rsid w:val="002874BB"/>
    <w:rsid w:val="002A04E2"/>
    <w:rsid w:val="002D0E6A"/>
    <w:rsid w:val="002E259F"/>
    <w:rsid w:val="003126C5"/>
    <w:rsid w:val="003230AC"/>
    <w:rsid w:val="00324535"/>
    <w:rsid w:val="0033574B"/>
    <w:rsid w:val="00341A32"/>
    <w:rsid w:val="0034519F"/>
    <w:rsid w:val="003723B3"/>
    <w:rsid w:val="00372790"/>
    <w:rsid w:val="003B32CB"/>
    <w:rsid w:val="003C3901"/>
    <w:rsid w:val="003E2E14"/>
    <w:rsid w:val="003E6E95"/>
    <w:rsid w:val="003E757E"/>
    <w:rsid w:val="003F14F0"/>
    <w:rsid w:val="00457AF3"/>
    <w:rsid w:val="004672FE"/>
    <w:rsid w:val="004C2DF2"/>
    <w:rsid w:val="004D6C9A"/>
    <w:rsid w:val="004E153E"/>
    <w:rsid w:val="004E3A56"/>
    <w:rsid w:val="004F3FAD"/>
    <w:rsid w:val="0050452A"/>
    <w:rsid w:val="005301AF"/>
    <w:rsid w:val="0059062A"/>
    <w:rsid w:val="00594E10"/>
    <w:rsid w:val="005F025E"/>
    <w:rsid w:val="005F09AD"/>
    <w:rsid w:val="00611BA6"/>
    <w:rsid w:val="0062243C"/>
    <w:rsid w:val="00646F1A"/>
    <w:rsid w:val="006478D4"/>
    <w:rsid w:val="006522FE"/>
    <w:rsid w:val="006C356C"/>
    <w:rsid w:val="007160CD"/>
    <w:rsid w:val="0072598B"/>
    <w:rsid w:val="00737C51"/>
    <w:rsid w:val="007472A1"/>
    <w:rsid w:val="00793CD5"/>
    <w:rsid w:val="007E3A96"/>
    <w:rsid w:val="008465FC"/>
    <w:rsid w:val="0087648E"/>
    <w:rsid w:val="008A15FA"/>
    <w:rsid w:val="008B2048"/>
    <w:rsid w:val="008B39E0"/>
    <w:rsid w:val="008C1F69"/>
    <w:rsid w:val="00905804"/>
    <w:rsid w:val="0092585D"/>
    <w:rsid w:val="00946C1A"/>
    <w:rsid w:val="00961712"/>
    <w:rsid w:val="00970FD0"/>
    <w:rsid w:val="009833AE"/>
    <w:rsid w:val="0099613E"/>
    <w:rsid w:val="009C081E"/>
    <w:rsid w:val="00A1686F"/>
    <w:rsid w:val="00A26368"/>
    <w:rsid w:val="00A3369D"/>
    <w:rsid w:val="00A440BB"/>
    <w:rsid w:val="00A93AB0"/>
    <w:rsid w:val="00AC6CEB"/>
    <w:rsid w:val="00AF7CDD"/>
    <w:rsid w:val="00B02A66"/>
    <w:rsid w:val="00B03714"/>
    <w:rsid w:val="00B135B4"/>
    <w:rsid w:val="00B43E96"/>
    <w:rsid w:val="00B80FE6"/>
    <w:rsid w:val="00BC30E3"/>
    <w:rsid w:val="00BC3723"/>
    <w:rsid w:val="00BD0083"/>
    <w:rsid w:val="00BD4C07"/>
    <w:rsid w:val="00C33E50"/>
    <w:rsid w:val="00C60A8A"/>
    <w:rsid w:val="00C74E91"/>
    <w:rsid w:val="00C7579C"/>
    <w:rsid w:val="00D176EC"/>
    <w:rsid w:val="00D369D2"/>
    <w:rsid w:val="00D56F27"/>
    <w:rsid w:val="00D65320"/>
    <w:rsid w:val="00D65594"/>
    <w:rsid w:val="00D72E60"/>
    <w:rsid w:val="00D8168C"/>
    <w:rsid w:val="00DA14F9"/>
    <w:rsid w:val="00DA6A64"/>
    <w:rsid w:val="00DE2F20"/>
    <w:rsid w:val="00E028DA"/>
    <w:rsid w:val="00E02ACD"/>
    <w:rsid w:val="00E3325D"/>
    <w:rsid w:val="00E37DD2"/>
    <w:rsid w:val="00EB5F17"/>
    <w:rsid w:val="00EC70AE"/>
    <w:rsid w:val="00F02053"/>
    <w:rsid w:val="00F035ED"/>
    <w:rsid w:val="00F2674A"/>
    <w:rsid w:val="00F81B76"/>
    <w:rsid w:val="012D07C3"/>
    <w:rsid w:val="01802A82"/>
    <w:rsid w:val="01AC6F0F"/>
    <w:rsid w:val="0223247A"/>
    <w:rsid w:val="02592928"/>
    <w:rsid w:val="05E51D84"/>
    <w:rsid w:val="064E5119"/>
    <w:rsid w:val="084579C6"/>
    <w:rsid w:val="0861460D"/>
    <w:rsid w:val="08AF79C5"/>
    <w:rsid w:val="0AF53DB5"/>
    <w:rsid w:val="0C3F119A"/>
    <w:rsid w:val="0C640277"/>
    <w:rsid w:val="0E331358"/>
    <w:rsid w:val="0FD80354"/>
    <w:rsid w:val="10575F23"/>
    <w:rsid w:val="11AF273E"/>
    <w:rsid w:val="11EF4CDE"/>
    <w:rsid w:val="12D876DB"/>
    <w:rsid w:val="12F65BBF"/>
    <w:rsid w:val="130473B2"/>
    <w:rsid w:val="14345CC8"/>
    <w:rsid w:val="15CE557D"/>
    <w:rsid w:val="18AF2130"/>
    <w:rsid w:val="19AA1BBF"/>
    <w:rsid w:val="19F33BB6"/>
    <w:rsid w:val="1B60211E"/>
    <w:rsid w:val="1D690AA7"/>
    <w:rsid w:val="1D7152AE"/>
    <w:rsid w:val="1EA53F64"/>
    <w:rsid w:val="1ED35AE6"/>
    <w:rsid w:val="1FE1125A"/>
    <w:rsid w:val="206F7D0E"/>
    <w:rsid w:val="20BD4F1E"/>
    <w:rsid w:val="227A7863"/>
    <w:rsid w:val="22CD7244"/>
    <w:rsid w:val="267F4223"/>
    <w:rsid w:val="276D1523"/>
    <w:rsid w:val="27B13624"/>
    <w:rsid w:val="28110730"/>
    <w:rsid w:val="28192A83"/>
    <w:rsid w:val="28E95B25"/>
    <w:rsid w:val="29633F66"/>
    <w:rsid w:val="2AC17A3C"/>
    <w:rsid w:val="2BD1463A"/>
    <w:rsid w:val="2C607934"/>
    <w:rsid w:val="2CC40E3F"/>
    <w:rsid w:val="2DE57F49"/>
    <w:rsid w:val="2E0D58E1"/>
    <w:rsid w:val="2EE61093"/>
    <w:rsid w:val="2F3B4E9B"/>
    <w:rsid w:val="303B5BEC"/>
    <w:rsid w:val="389556F8"/>
    <w:rsid w:val="38D806EF"/>
    <w:rsid w:val="39B76C65"/>
    <w:rsid w:val="39DC115A"/>
    <w:rsid w:val="3A214CB5"/>
    <w:rsid w:val="3A225775"/>
    <w:rsid w:val="3AB108C4"/>
    <w:rsid w:val="3BED33DD"/>
    <w:rsid w:val="3E412A3D"/>
    <w:rsid w:val="408C48FD"/>
    <w:rsid w:val="41E2438C"/>
    <w:rsid w:val="420665D6"/>
    <w:rsid w:val="460D0775"/>
    <w:rsid w:val="460D56F4"/>
    <w:rsid w:val="46750796"/>
    <w:rsid w:val="48097552"/>
    <w:rsid w:val="484563CB"/>
    <w:rsid w:val="492B326A"/>
    <w:rsid w:val="49610BC5"/>
    <w:rsid w:val="4A5B4CDC"/>
    <w:rsid w:val="4A69564B"/>
    <w:rsid w:val="4B8E2E8F"/>
    <w:rsid w:val="4BF21DE5"/>
    <w:rsid w:val="4C0E0E4D"/>
    <w:rsid w:val="4C8A65FB"/>
    <w:rsid w:val="516F4E5C"/>
    <w:rsid w:val="51D34393"/>
    <w:rsid w:val="53BE4FC2"/>
    <w:rsid w:val="54536968"/>
    <w:rsid w:val="54712489"/>
    <w:rsid w:val="54D61F9D"/>
    <w:rsid w:val="5583195B"/>
    <w:rsid w:val="563C1CB8"/>
    <w:rsid w:val="588678AB"/>
    <w:rsid w:val="5A7230B8"/>
    <w:rsid w:val="5BC81F9B"/>
    <w:rsid w:val="5BCC1444"/>
    <w:rsid w:val="5C9D4AB4"/>
    <w:rsid w:val="5CFC234E"/>
    <w:rsid w:val="5D2B6790"/>
    <w:rsid w:val="5FA97E40"/>
    <w:rsid w:val="5FE01B44"/>
    <w:rsid w:val="6130070B"/>
    <w:rsid w:val="61B31A60"/>
    <w:rsid w:val="61F774DF"/>
    <w:rsid w:val="621023DD"/>
    <w:rsid w:val="659E0099"/>
    <w:rsid w:val="67BE553A"/>
    <w:rsid w:val="680D01C3"/>
    <w:rsid w:val="6A5145EC"/>
    <w:rsid w:val="6A537326"/>
    <w:rsid w:val="6AC6705E"/>
    <w:rsid w:val="6AEF1F4D"/>
    <w:rsid w:val="6E920FDE"/>
    <w:rsid w:val="6F4D6A39"/>
    <w:rsid w:val="6F4F68DB"/>
    <w:rsid w:val="70703895"/>
    <w:rsid w:val="714E49D2"/>
    <w:rsid w:val="71775DE6"/>
    <w:rsid w:val="71B75137"/>
    <w:rsid w:val="72E01463"/>
    <w:rsid w:val="730E7BB3"/>
    <w:rsid w:val="73776A3E"/>
    <w:rsid w:val="75FE19D7"/>
    <w:rsid w:val="77A94D8A"/>
    <w:rsid w:val="78E404AD"/>
    <w:rsid w:val="78F76E14"/>
    <w:rsid w:val="7B2A0DAC"/>
    <w:rsid w:val="7B89221F"/>
    <w:rsid w:val="7E3C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color w:val="000000"/>
    </w:rPr>
  </w:style>
  <w:style w:type="paragraph" w:styleId="3">
    <w:name w:val="Document Map"/>
    <w:basedOn w:val="1"/>
    <w:semiHidden/>
    <w:qFormat/>
    <w:uiPriority w:val="0"/>
    <w:pPr>
      <w:shd w:val="clear" w:color="auto" w:fill="000080"/>
    </w:pPr>
  </w:style>
  <w:style w:type="paragraph" w:styleId="4">
    <w:name w:val="annotation text"/>
    <w:basedOn w:val="1"/>
    <w:link w:val="20"/>
    <w:qFormat/>
    <w:uiPriority w:val="0"/>
    <w:pPr>
      <w:jc w:val="left"/>
    </w:pPr>
  </w:style>
  <w:style w:type="paragraph" w:styleId="5">
    <w:name w:val="Body Text"/>
    <w:basedOn w:val="1"/>
    <w:qFormat/>
    <w:uiPriority w:val="0"/>
    <w:pPr>
      <w:spacing w:after="120"/>
    </w:pPr>
  </w:style>
  <w:style w:type="paragraph" w:styleId="6">
    <w:name w:val="List 2"/>
    <w:basedOn w:val="1"/>
    <w:qFormat/>
    <w:uiPriority w:val="0"/>
    <w:pPr>
      <w:ind w:left="100" w:leftChars="200" w:hanging="200" w:hangingChars="200"/>
    </w:pPr>
  </w:style>
  <w:style w:type="paragraph" w:styleId="7">
    <w:name w:val="toc 3"/>
    <w:basedOn w:val="1"/>
    <w:next w:val="1"/>
    <w:unhideWhenUsed/>
    <w:qFormat/>
    <w:uiPriority w:val="39"/>
    <w:pPr>
      <w:spacing w:line="380" w:lineRule="exact"/>
      <w:ind w:left="400" w:leftChars="400"/>
      <w:jc w:val="distribute"/>
    </w:pPr>
    <w:rPr>
      <w:rFonts w:ascii="Times New Roman" w:hAnsi="Times New Roman"/>
      <w:szCs w:val="22"/>
    </w:rPr>
  </w:style>
  <w:style w:type="paragraph" w:styleId="8">
    <w:name w:val="Balloon Text"/>
    <w:basedOn w:val="1"/>
    <w:link w:val="22"/>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1"/>
    <w:qFormat/>
    <w:uiPriority w:val="0"/>
    <w:rPr>
      <w:b/>
      <w:bCs/>
    </w:rPr>
  </w:style>
  <w:style w:type="paragraph" w:styleId="12">
    <w:name w:val="Body Text First Indent"/>
    <w:basedOn w:val="5"/>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脚 Char"/>
    <w:link w:val="9"/>
    <w:qFormat/>
    <w:uiPriority w:val="0"/>
    <w:rPr>
      <w:rFonts w:ascii="Calibri" w:hAnsi="Calibri"/>
      <w:kern w:val="2"/>
      <w:sz w:val="18"/>
      <w:szCs w:val="18"/>
    </w:rPr>
  </w:style>
  <w:style w:type="character" w:customStyle="1" w:styleId="18">
    <w:name w:val="页眉 Char"/>
    <w:link w:val="10"/>
    <w:qFormat/>
    <w:uiPriority w:val="0"/>
    <w:rPr>
      <w:rFonts w:ascii="Calibri" w:hAnsi="Calibri"/>
      <w:kern w:val="2"/>
      <w:sz w:val="18"/>
      <w:szCs w:val="18"/>
    </w:rPr>
  </w:style>
  <w:style w:type="paragraph" w:customStyle="1" w:styleId="19">
    <w:name w:val="默认段落字体 Para Char Char Char Char Char Char Char Char Char Char Char Char Char Char Char1 Char Char Char Char"/>
    <w:basedOn w:val="3"/>
    <w:qFormat/>
    <w:uiPriority w:val="0"/>
    <w:pPr>
      <w:adjustRightInd w:val="0"/>
      <w:spacing w:line="436" w:lineRule="exact"/>
      <w:ind w:left="357"/>
      <w:jc w:val="left"/>
      <w:outlineLvl w:val="3"/>
    </w:pPr>
    <w:rPr>
      <w:rFonts w:ascii="Tahoma" w:hAnsi="Tahoma"/>
      <w:b/>
      <w:sz w:val="24"/>
    </w:rPr>
  </w:style>
  <w:style w:type="character" w:customStyle="1" w:styleId="20">
    <w:name w:val="批注文字 Char"/>
    <w:basedOn w:val="15"/>
    <w:link w:val="4"/>
    <w:qFormat/>
    <w:uiPriority w:val="0"/>
    <w:rPr>
      <w:rFonts w:ascii="Calibri" w:hAnsi="Calibri"/>
      <w:kern w:val="2"/>
      <w:sz w:val="21"/>
      <w:szCs w:val="24"/>
    </w:rPr>
  </w:style>
  <w:style w:type="character" w:customStyle="1" w:styleId="21">
    <w:name w:val="批注主题 Char"/>
    <w:basedOn w:val="20"/>
    <w:link w:val="11"/>
    <w:qFormat/>
    <w:uiPriority w:val="0"/>
    <w:rPr>
      <w:b/>
      <w:bCs/>
    </w:rPr>
  </w:style>
  <w:style w:type="character" w:customStyle="1" w:styleId="22">
    <w:name w:val="批注框文本 Char"/>
    <w:basedOn w:val="15"/>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2658</Words>
  <Characters>2955</Characters>
  <Lines>22</Lines>
  <Paragraphs>6</Paragraphs>
  <TotalTime>325</TotalTime>
  <ScaleCrop>false</ScaleCrop>
  <LinksUpToDate>false</LinksUpToDate>
  <CharactersWithSpaces>3004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2023-08-28T08:16:00Z</dcterms:created>
  <dc:creator>Administrator</dc:creator>
  <cp:lastModifiedBy>周超</cp:lastModifiedBy>
  <cp:lastPrinted>2024-06-21T00:55:00Z</cp:lastPrinted>
  <dcterms:modified xsi:type="dcterms:W3CDTF">2025-06-19T07:52:45Z</dcterms:modified>
  <dc:title>青岛市即墨区2021年化肥减量增效项目土壤样品采集化验、施肥调查采购公告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13DA170A73514438BF6FF62652EFF37C</vt:lpwstr>
  </property>
  <property fmtid="{D5CDD505-2E9C-101B-9397-08002B2CF9AE}" pid="4" name="KSOTemplateDocerSaveRecord">
    <vt:lpwstr>eyJoZGlkIjoiMmU3OTY5NGJhYmJkODQ0MjE1YWFlOWNkNjY1OGU4MjQiLCJ1c2VySWQiOiIyMjM2ODMzNDAifQ==</vt:lpwstr>
  </property>
</Properties>
</file>