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青岛市即墨区农业农村局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color w:val="000000"/>
          <w:spacing w:val="-11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11"/>
          <w:sz w:val="44"/>
          <w:szCs w:val="44"/>
          <w:lang w:val="en-US" w:eastAsia="zh-CN"/>
        </w:rPr>
        <w:t>农药</w:t>
      </w:r>
      <w:r>
        <w:rPr>
          <w:rFonts w:hint="eastAsia" w:ascii="方正小标宋简体" w:eastAsia="方正小标宋简体"/>
          <w:color w:val="000000"/>
          <w:spacing w:val="-11"/>
          <w:sz w:val="44"/>
          <w:szCs w:val="44"/>
        </w:rPr>
        <w:t>经营许可事项“证照分离”改革管理措施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一、事项名称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农药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经营许可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二、改革方式</w:t>
      </w:r>
    </w:p>
    <w:p>
      <w:pPr>
        <w:adjustRightIn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优化审批服务</w:t>
      </w:r>
    </w:p>
    <w:p>
      <w:pPr>
        <w:adjustRightInd w:val="0"/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三、审批机关</w:t>
      </w:r>
    </w:p>
    <w:p>
      <w:pPr>
        <w:adjustRightInd w:val="0"/>
        <w:spacing w:line="560" w:lineRule="exact"/>
        <w:ind w:firstLine="640" w:firstLineChars="200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青岛市即墨区行政审批服务局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color w:val="000000"/>
          <w:sz w:val="32"/>
          <w:szCs w:val="32"/>
        </w:rPr>
        <w:t>、监管措施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（一）工作人员在监督检查时，不得少于2人，应当出示执法证件。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（二）查阅证照是否齐全等相关材料及档案资料是否合乎规定。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（三）监督检查完毕，制作监督检查记录，向被检查单位或个人反馈检查结果。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1.开展“双随机、一公开”监管，严肃查处虚假承诺行为。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2.列入“双随机、一公开”抽查范围，并与日常检查、专项检查、跟踪检查、执法检查和跨部门协同检查等方式相结合实施。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3.不定期检查，根据工作需要、投诉举报等实际情况组织检查。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color w:val="000000"/>
          <w:sz w:val="32"/>
          <w:szCs w:val="32"/>
        </w:rPr>
        <w:t>、监管程序</w:t>
      </w:r>
    </w:p>
    <w:p>
      <w:pPr>
        <w:numPr>
          <w:ilvl w:val="0"/>
          <w:numId w:val="0"/>
        </w:numPr>
        <w:adjustRightInd w:val="0"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开展“双随机、一公开”监管，严肃查处虚假承诺行为。</w:t>
      </w:r>
    </w:p>
    <w:p>
      <w:pPr>
        <w:numPr>
          <w:ilvl w:val="0"/>
          <w:numId w:val="0"/>
        </w:numPr>
        <w:adjustRightIn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对发现违法行为的，及时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移送区农业综合行政执法大队。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color w:val="000000"/>
          <w:sz w:val="32"/>
          <w:szCs w:val="32"/>
        </w:rPr>
        <w:t>、监管处理</w:t>
      </w:r>
    </w:p>
    <w:p>
      <w:pPr>
        <w:numPr>
          <w:ilvl w:val="0"/>
          <w:numId w:val="0"/>
        </w:numPr>
        <w:adjustRightIn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对发现违法行为的，及时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移送区农业综合行政执法大队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color w:val="000000"/>
          <w:sz w:val="32"/>
          <w:szCs w:val="32"/>
        </w:rPr>
        <w:t>、投诉举报电话</w:t>
      </w:r>
    </w:p>
    <w:p>
      <w:pPr>
        <w:spacing w:line="560" w:lineRule="exact"/>
        <w:ind w:firstLine="640" w:firstLineChars="200"/>
        <w:jc w:val="both"/>
        <w:outlineLvl w:val="0"/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</w:pP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  <w:t>联系人：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  <w:lang w:val="en-US" w:eastAsia="zh-CN"/>
        </w:rPr>
        <w:t>江守杰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  <w:t xml:space="preserve"> ；联系电话：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  <w:lang w:val="en-US" w:eastAsia="zh-CN"/>
        </w:rPr>
        <w:t>88525102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ODk5NGFkZGYzMTA0YjNhMjA5NzdhOWIzNjBlOWQifQ=="/>
  </w:docVars>
  <w:rsids>
    <w:rsidRoot w:val="00000000"/>
    <w:rsid w:val="14574769"/>
    <w:rsid w:val="173E1578"/>
    <w:rsid w:val="312D7AFD"/>
    <w:rsid w:val="3A7E7868"/>
    <w:rsid w:val="4AF70A01"/>
    <w:rsid w:val="7A0B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99"/>
    <w:pPr>
      <w:ind w:left="800" w:leftChars="800"/>
    </w:pPr>
  </w:style>
  <w:style w:type="paragraph" w:styleId="3">
    <w:name w:val="Body Text"/>
    <w:basedOn w:val="1"/>
    <w:next w:val="2"/>
    <w:qFormat/>
    <w:uiPriority w:val="99"/>
    <w:pPr>
      <w:spacing w:after="12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403</Characters>
  <Lines>0</Lines>
  <Paragraphs>0</Paragraphs>
  <TotalTime>27</TotalTime>
  <ScaleCrop>false</ScaleCrop>
  <LinksUpToDate>false</LinksUpToDate>
  <CharactersWithSpaces>404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2022-11-09T06:35:00Z</dcterms:created>
  <dc:creator>Administrator</dc:creator>
  <cp:lastModifiedBy>15066213967</cp:lastModifiedBy>
  <dcterms:modified xsi:type="dcterms:W3CDTF">2022-11-13T02:57:58Z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A601B7DF80EF4CD98C2202ECA7C6DFBC</vt:lpwstr>
  </property>
</Properties>
</file>