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3080" w:firstLineChars="1100"/>
        <w:jc w:val="right"/>
        <w:rPr>
          <w:rFonts w:ascii="黑体" w:hAnsi="黑体" w:eastAsia="黑体"/>
          <w:sz w:val="28"/>
        </w:rPr>
      </w:pPr>
      <w:r>
        <w:rPr>
          <w:rFonts w:hint="eastAsia" w:ascii="黑体" w:hAnsi="黑体" w:eastAsia="黑体"/>
          <w:sz w:val="28"/>
        </w:rPr>
        <w:t>标记：A</w:t>
      </w:r>
    </w:p>
    <w:p>
      <w:pPr>
        <w:spacing w:after="0" w:line="560" w:lineRule="exact"/>
        <w:jc w:val="center"/>
        <w:rPr>
          <w:rFonts w:ascii="方正小标宋_GBK" w:hAnsi="宋体" w:eastAsia="方正小标宋_GBK"/>
          <w:spacing w:val="-10"/>
          <w:sz w:val="44"/>
        </w:rPr>
      </w:pPr>
    </w:p>
    <w:p>
      <w:pPr>
        <w:spacing w:after="0" w:line="560" w:lineRule="exact"/>
        <w:jc w:val="center"/>
        <w:rPr>
          <w:rFonts w:ascii="方正小标宋_GBK" w:hAnsi="宋体" w:eastAsia="方正小标宋_GBK"/>
          <w:spacing w:val="-10"/>
          <w:sz w:val="44"/>
        </w:rPr>
      </w:pPr>
      <w:r>
        <w:rPr>
          <w:rFonts w:hint="eastAsia" w:ascii="方正小标宋_GBK" w:hAnsi="宋体" w:eastAsia="方正小标宋_GBK"/>
          <w:spacing w:val="-10"/>
          <w:sz w:val="44"/>
        </w:rPr>
        <w:t>即墨区农业农村局</w:t>
      </w:r>
    </w:p>
    <w:p>
      <w:pPr>
        <w:spacing w:after="0" w:line="560" w:lineRule="exact"/>
        <w:jc w:val="center"/>
        <w:rPr>
          <w:rFonts w:ascii="方正小标宋_GBK" w:hAnsi="宋体" w:eastAsia="方正小标宋_GBK"/>
          <w:spacing w:val="-10"/>
          <w:sz w:val="44"/>
        </w:rPr>
      </w:pPr>
      <w:r>
        <w:rPr>
          <w:rFonts w:hint="eastAsia" w:ascii="方正小标宋_GBK" w:hAnsi="宋体" w:eastAsia="方正小标宋_GBK"/>
          <w:spacing w:val="-10"/>
          <w:sz w:val="44"/>
        </w:rPr>
        <w:t>关于对区政协十五届一次会议第130号</w:t>
      </w:r>
    </w:p>
    <w:p>
      <w:pPr>
        <w:spacing w:after="0" w:line="560" w:lineRule="exact"/>
        <w:jc w:val="center"/>
        <w:rPr>
          <w:rFonts w:ascii="方正小标宋_GBK" w:hAnsi="宋体" w:eastAsia="方正小标宋_GBK"/>
          <w:spacing w:val="-10"/>
          <w:sz w:val="44"/>
        </w:rPr>
      </w:pPr>
      <w:r>
        <w:rPr>
          <w:rFonts w:hint="eastAsia" w:ascii="方正小标宋_GBK" w:hAnsi="宋体" w:eastAsia="方正小标宋_GBK"/>
          <w:spacing w:val="-10"/>
          <w:sz w:val="44"/>
        </w:rPr>
        <w:t>提案的答复</w:t>
      </w: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韩绍功委员：</w:t>
      </w:r>
    </w:p>
    <w:p>
      <w:pPr>
        <w:spacing w:after="0" w:line="560" w:lineRule="exact"/>
        <w:ind w:firstLine="640" w:firstLineChars="200"/>
        <w:rPr>
          <w:rFonts w:ascii="仿宋_GB2312" w:hAnsi="仿宋_GB2312" w:eastAsia="仿宋_GB2312" w:cs="仿宋_GB2312"/>
          <w:spacing w:val="-6"/>
          <w:sz w:val="32"/>
          <w:szCs w:val="32"/>
        </w:rPr>
      </w:pPr>
      <w:r>
        <w:rPr>
          <w:rFonts w:hint="eastAsia" w:ascii="仿宋_GB2312" w:hAnsi="仿宋_GB2312" w:eastAsia="仿宋_GB2312" w:cs="仿宋_GB2312"/>
          <w:sz w:val="32"/>
          <w:szCs w:val="32"/>
        </w:rPr>
        <w:t>您提出的“关于发展种子产</w:t>
      </w:r>
      <w:r>
        <w:rPr>
          <w:rFonts w:hint="eastAsia" w:ascii="仿宋_GB2312" w:hAnsi="仿宋_GB2312" w:eastAsia="仿宋_GB2312" w:cs="仿宋_GB2312"/>
          <w:spacing w:val="-6"/>
          <w:sz w:val="32"/>
          <w:szCs w:val="32"/>
        </w:rPr>
        <w:t>业、助力乡村振兴的建议的提案”收悉。现答复如下：</w:t>
      </w:r>
    </w:p>
    <w:p>
      <w:pPr>
        <w:spacing w:after="0" w:line="560" w:lineRule="exact"/>
        <w:ind w:firstLine="640" w:firstLineChars="200"/>
        <w:rPr>
          <w:rFonts w:ascii="仿宋_GB2312" w:hAnsi="仿宋_GB2312" w:eastAsia="仿宋_GB2312" w:cs="仿宋_GB2312"/>
          <w:snapToGrid w:val="0"/>
          <w:sz w:val="32"/>
        </w:rPr>
      </w:pPr>
      <w:r>
        <w:rPr>
          <w:rFonts w:hint="eastAsia" w:ascii="仿宋_GB2312" w:hAnsi="仿宋_GB2312" w:eastAsia="仿宋_GB2312" w:cs="仿宋_GB2312"/>
          <w:sz w:val="32"/>
          <w:szCs w:val="32"/>
        </w:rPr>
        <w:t>国以农为本、农以种为先。种子是农业的“芯片”，推进农业科技创新，种业必先行。近年来，即墨区以乡村产业振兴和确保粮食安全为目标，大力推进种业技术创新，加快发展现代种业，种业的创新能力、竞争能力、保障能力和治理能力不断提升，我区的现代种业实现了跨越式发展。</w:t>
      </w:r>
      <w:r>
        <w:rPr>
          <w:rFonts w:hint="eastAsia" w:ascii="仿宋_GB2312" w:hAnsi="仿宋_GB2312" w:eastAsia="仿宋_GB2312" w:cs="仿宋_GB2312"/>
          <w:snapToGrid w:val="0"/>
          <w:sz w:val="32"/>
        </w:rPr>
        <w:t>在工作中我们采取的工作措施：</w:t>
      </w:r>
    </w:p>
    <w:p>
      <w:pPr>
        <w:spacing w:after="0" w:line="560" w:lineRule="exact"/>
        <w:ind w:firstLine="640" w:firstLineChars="200"/>
        <w:rPr>
          <w:rFonts w:ascii="黑体" w:hAnsi="黑体" w:eastAsia="黑体"/>
          <w:snapToGrid w:val="0"/>
          <w:sz w:val="32"/>
        </w:rPr>
      </w:pPr>
      <w:r>
        <w:rPr>
          <w:rFonts w:hint="eastAsia" w:ascii="黑体" w:hAnsi="黑体" w:eastAsia="黑体"/>
          <w:snapToGrid w:val="0"/>
          <w:sz w:val="32"/>
        </w:rPr>
        <w:t>一、加强组织领导，工作机制不断完善</w:t>
      </w:r>
    </w:p>
    <w:p>
      <w:pPr>
        <w:spacing w:after="0" w:line="56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近年来，区委、区政府高度重视种业发展，2017年提出并启动建设青岛（移风）蔬菜花卉种子产业园，被列为青岛市国际种都核心区。为加快推进种都核心区建设，2017年7月，区成立了青岛（移风）国际蔬菜花卉种子产业园领导小组，由区政府分管领导任组长，区农业、财政、科技、国土、发改、农业高新区、移风店镇等单位主要负责人为成员，统筹研究部署蔬菜花卉种子产业园建设工作。2021年8月，在区委工作调度会上以及区委韩世军书记对国际种都核心区建设进行调研时，对国际种都核心区建设工作进行了部署，提出了更高要求。2021年9月8日，重新完善青岛市国际种都核心区建设工作领导小组，由区委副书记任组长、区政府分管副区长任常务副组长，农业农村局局长和移风店镇党委书记任副组长。区政府多次组织召开了由区政府副区长参加的国际种都核心区建设调度会，专题研究种都核心区发展思路、建设规划和扶持政策。</w:t>
      </w:r>
    </w:p>
    <w:p>
      <w:pPr>
        <w:spacing w:after="0" w:line="560" w:lineRule="exact"/>
        <w:ind w:firstLine="616" w:firstLineChars="200"/>
        <w:rPr>
          <w:rFonts w:ascii="黑体" w:hAnsi="黑体" w:eastAsia="黑体" w:cs="黑体"/>
          <w:spacing w:val="-6"/>
          <w:sz w:val="32"/>
          <w:szCs w:val="32"/>
        </w:rPr>
      </w:pPr>
      <w:r>
        <w:rPr>
          <w:rFonts w:hint="eastAsia" w:ascii="黑体" w:hAnsi="黑体" w:eastAsia="黑体" w:cs="黑体"/>
          <w:spacing w:val="-6"/>
          <w:sz w:val="32"/>
          <w:szCs w:val="32"/>
        </w:rPr>
        <w:t>二、强化招商引资，培育壮大种业企业</w:t>
      </w:r>
    </w:p>
    <w:p>
      <w:pPr>
        <w:spacing w:after="0" w:line="56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我区把核心区作为筑巢引凤的平台，以高端种业项目引进作为重中之重，加大双招双引力度，聚力将核心区打造成市场竟争力强、占有率高的种业产业集群，</w:t>
      </w:r>
      <w:r>
        <w:rPr>
          <w:rFonts w:hint="eastAsia" w:ascii="仿宋_GB2312" w:hAnsi="仿宋_GB2312" w:eastAsia="仿宋_GB2312" w:cs="仿宋_GB2312"/>
          <w:sz w:val="32"/>
          <w:szCs w:val="32"/>
        </w:rPr>
        <w:t>核心区新引进瑞克斯旺等蔬菜、花卉种业企业14家。组织本地企业积极参加各类种业会展，提高本地企业的知名度和影响力。目前，</w:t>
      </w:r>
      <w:r>
        <w:rPr>
          <w:rFonts w:hint="eastAsia" w:ascii="仿宋_GB2312" w:hAnsi="仿宋_GB2312" w:eastAsia="仿宋_GB2312" w:cs="仿宋_GB2312"/>
          <w:spacing w:val="-6"/>
          <w:sz w:val="32"/>
          <w:szCs w:val="32"/>
        </w:rPr>
        <w:t>全区持证种子生产企业达16家，注册资金在500万元以上的企业7家，其中1000万以上资金的企业3家。农作物种子销售市场已走向全国，其中瑞克斯旺（青岛）农业服务有限公司和青岛硕丰源种业有限公司在蔬菜上的研发创新能力达到国内一流水平，已培育一批适合现代农业生产需求的突破性农作物新品种，如硕丰源的华南型旱黄瓜种子、瑞克斯旺的茄子和番茄种子等。</w:t>
      </w:r>
    </w:p>
    <w:p>
      <w:pPr>
        <w:spacing w:after="0"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三、强化技术创新，推进产学研深度融合</w:t>
      </w:r>
    </w:p>
    <w:p>
      <w:pPr>
        <w:spacing w:after="0" w:line="56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近年来，我们坚持把产学研合作摆在突出位置，大力推进协同创新、开放创新，加快构建以企业为主体、以市场为导向、产学研深度融合的技术创新体系，促进科技与经济紧密结合。利用高等学校、科研院所科技集中、人才聚集的优势，推进高等院校、科研院所与种业企业合作，支持企业建立创新联合体，联合开展技术攻关。2021年，硕丰源有限公司与青岛农科院、青岛农业大学合作，共同完成“分子标记辅助选育黄瓜多抗砧木型品种”项目，确定青岛地区黄瓜栽培最佳“砧-穗”组合2套。国际种都核心区已研发培育蔬菜、花卉种子500余种，初步形成集种子研发、培育、销售、展示于一体的全产业链。</w:t>
      </w:r>
    </w:p>
    <w:p>
      <w:pPr>
        <w:spacing w:after="0"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四、加大政策扶持，不断注入产业发展活力</w:t>
      </w:r>
    </w:p>
    <w:p>
      <w:pPr>
        <w:spacing w:after="0" w:line="56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为做大做强我区现代种业产业,推动现代农业高质量发展，近年来，即墨区政府相继出台了《关于建设青岛（移风）国际蔬菜花卉种子产业园的意见》《关于进一步推动乡村产业高质量发展若干意见》，不断强化项目支撑、完善设施配套，加速推进青岛国际种都核心区建设，构建国内一流的种业聚集区，打造现代种业发展新高地。今年，青岛市农业农村局出台了《关于加快现代种业创新发展的实施意见》，加快实施育种创新能力提升工程、良种繁育推广工程、现代种业企业扶优工程。整合相关政策资金向种业倾斜，为全面增强种业自主创新能力和综合竞争力,建立健全现代种业发展体系提供有力支持。</w:t>
      </w:r>
    </w:p>
    <w:p>
      <w:pPr>
        <w:spacing w:after="0"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五、</w:t>
      </w:r>
      <w:r>
        <w:rPr>
          <w:rFonts w:ascii="黑体" w:hAnsi="黑体" w:eastAsia="黑体" w:cs="仿宋_GB2312"/>
          <w:sz w:val="32"/>
          <w:szCs w:val="32"/>
        </w:rPr>
        <w:t>加强</w:t>
      </w:r>
      <w:r>
        <w:rPr>
          <w:rFonts w:hint="eastAsia" w:ascii="黑体" w:hAnsi="黑体" w:eastAsia="黑体" w:cs="仿宋_GB2312"/>
          <w:sz w:val="32"/>
          <w:szCs w:val="32"/>
        </w:rPr>
        <w:t>知识产权保护，不断提高种业发展水平</w:t>
      </w:r>
    </w:p>
    <w:p>
      <w:pPr>
        <w:spacing w:after="0" w:line="56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加大种业知识产权保护宣传力度，建立健全知识产权监管机制。充分利用各种媒体，加大法律法规的宣传普及，学习新《种子法》等有关法律法规。建设完善现代种业信息平台，探索建立知识产权侵权主体“黑名单”制度，优化种业发展的营商环境。加强种业市场专项整治，严厉打击未审先推、无证生产、抢购套购、套牌侵权和制售假劣种子等违法行为，加大侵权案件查处力度，重拳出击、整治到底、震慑到位，维护种子生产经营者、使用者的合法权益。引导企业有序合法竞争，加快推进我区种业健康有序发展。</w:t>
      </w:r>
    </w:p>
    <w:p>
      <w:pPr>
        <w:spacing w:after="0" w:line="560" w:lineRule="exact"/>
        <w:ind w:firstLine="640" w:firstLineChars="200"/>
        <w:rPr>
          <w:rFonts w:ascii="仿宋_GB2312" w:eastAsia="仿宋_GB2312"/>
          <w:sz w:val="32"/>
          <w:szCs w:val="32"/>
        </w:rPr>
      </w:pPr>
    </w:p>
    <w:p>
      <w:pPr>
        <w:spacing w:after="0" w:line="560" w:lineRule="exact"/>
        <w:ind w:firstLine="640" w:firstLineChars="200"/>
        <w:rPr>
          <w:rFonts w:ascii="仿宋_GB2312" w:eastAsia="仿宋_GB2312"/>
          <w:sz w:val="32"/>
          <w:szCs w:val="32"/>
        </w:rPr>
      </w:pPr>
    </w:p>
    <w:p>
      <w:pPr>
        <w:spacing w:after="0" w:line="560" w:lineRule="exact"/>
        <w:ind w:left="5423" w:leftChars="2465" w:firstLine="0" w:firstLineChars="0"/>
        <w:rPr>
          <w:rFonts w:hint="eastAsia" w:ascii="仿宋_GB2312" w:hAnsi="仿宋" w:eastAsia="仿宋_GB2312"/>
          <w:spacing w:val="-6"/>
          <w:sz w:val="32"/>
          <w:szCs w:val="32"/>
        </w:rPr>
      </w:pPr>
    </w:p>
    <w:p>
      <w:pPr>
        <w:spacing w:after="0" w:line="560" w:lineRule="exact"/>
        <w:ind w:left="5423" w:leftChars="2465" w:firstLine="0" w:firstLineChars="0"/>
        <w:rPr>
          <w:rFonts w:hint="eastAsia" w:ascii="仿宋_GB2312" w:hAnsi="仿宋" w:eastAsia="仿宋_GB2312"/>
          <w:spacing w:val="-6"/>
          <w:sz w:val="32"/>
          <w:szCs w:val="32"/>
        </w:rPr>
      </w:pPr>
      <w:r>
        <w:rPr>
          <w:rFonts w:hint="eastAsia" w:ascii="仿宋_GB2312" w:hAnsi="仿宋" w:eastAsia="仿宋_GB2312"/>
          <w:spacing w:val="-6"/>
          <w:sz w:val="32"/>
          <w:szCs w:val="32"/>
        </w:rPr>
        <w:t xml:space="preserve">青岛市即墨区农业农村局            </w:t>
      </w:r>
    </w:p>
    <w:p>
      <w:pPr>
        <w:spacing w:after="0" w:line="560" w:lineRule="exact"/>
        <w:ind w:left="5423" w:leftChars="2465" w:firstLine="308" w:firstLineChars="100"/>
        <w:rPr>
          <w:rFonts w:ascii="仿宋_GB2312" w:hAnsi="仿宋" w:eastAsia="仿宋_GB2312"/>
          <w:spacing w:val="-6"/>
          <w:sz w:val="32"/>
          <w:szCs w:val="32"/>
        </w:rPr>
      </w:pPr>
      <w:r>
        <w:rPr>
          <w:rFonts w:hint="eastAsia" w:ascii="仿宋_GB2312" w:hAnsi="仿宋" w:eastAsia="仿宋_GB2312"/>
          <w:spacing w:val="-6"/>
          <w:sz w:val="32"/>
          <w:szCs w:val="32"/>
        </w:rPr>
        <w:t xml:space="preserve"> 2022年5月12日</w:t>
      </w:r>
    </w:p>
    <w:p>
      <w:pPr>
        <w:spacing w:after="0" w:line="560" w:lineRule="exact"/>
        <w:ind w:firstLine="640" w:firstLineChars="200"/>
        <w:rPr>
          <w:rFonts w:ascii="仿宋_GB2312" w:eastAsia="仿宋_GB2312"/>
          <w:sz w:val="32"/>
          <w:szCs w:val="32"/>
        </w:rPr>
      </w:pPr>
    </w:p>
    <w:p>
      <w:pPr>
        <w:spacing w:after="0" w:line="560" w:lineRule="exact"/>
        <w:ind w:firstLine="640" w:firstLineChars="200"/>
        <w:rPr>
          <w:rFonts w:ascii="仿宋_GB2312" w:eastAsia="仿宋_GB2312"/>
          <w:sz w:val="32"/>
          <w:szCs w:val="32"/>
        </w:rPr>
      </w:pPr>
      <w:r>
        <w:rPr>
          <w:rFonts w:hint="eastAsia" w:ascii="仿宋_GB2312" w:eastAsia="仿宋_GB2312"/>
          <w:sz w:val="32"/>
          <w:szCs w:val="32"/>
        </w:rPr>
        <w:t>签发领导：</w:t>
      </w:r>
      <w:r>
        <w:rPr>
          <w:rFonts w:hint="eastAsia" w:ascii="仿宋_GB2312" w:hAnsi="仿宋" w:eastAsia="仿宋_GB2312" w:cs="Times New Roman"/>
          <w:sz w:val="32"/>
          <w:szCs w:val="32"/>
        </w:rPr>
        <w:t>王孝官</w:t>
      </w:r>
      <w:bookmarkStart w:id="0" w:name="_GoBack"/>
      <w:bookmarkEnd w:id="0"/>
    </w:p>
    <w:p>
      <w:pPr>
        <w:spacing w:after="0" w:line="560" w:lineRule="exact"/>
        <w:ind w:firstLine="640" w:firstLineChars="200"/>
        <w:rPr>
          <w:rFonts w:ascii="仿宋_GB2312" w:eastAsia="仿宋_GB2312"/>
          <w:sz w:val="32"/>
          <w:szCs w:val="32"/>
        </w:rPr>
      </w:pPr>
      <w:r>
        <w:rPr>
          <w:rFonts w:hint="eastAsia" w:ascii="仿宋_GB2312" w:eastAsia="仿宋_GB2312"/>
          <w:sz w:val="32"/>
          <w:szCs w:val="32"/>
        </w:rPr>
        <w:t>承办人及电话：修翠波   88525032</w:t>
      </w:r>
    </w:p>
    <w:p>
      <w:pPr>
        <w:spacing w:after="0" w:line="560" w:lineRule="exact"/>
        <w:ind w:firstLine="640" w:firstLineChars="200"/>
        <w:rPr>
          <w:rFonts w:ascii="仿宋_GB2312" w:eastAsia="仿宋_GB2312"/>
          <w:sz w:val="32"/>
          <w:szCs w:val="32"/>
        </w:rPr>
      </w:pPr>
      <w:r>
        <w:rPr>
          <w:rFonts w:hint="eastAsia" w:ascii="仿宋_GB2312" w:eastAsia="仿宋_GB2312"/>
          <w:sz w:val="32"/>
          <w:szCs w:val="32"/>
        </w:rPr>
        <w:t>抄送：区政府政务督查室</w:t>
      </w:r>
    </w:p>
    <w:sectPr>
      <w:footerReference r:id="rId4" w:type="default"/>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- 3 -</w:t>
                </w:r>
                <w:r>
                  <w:rPr>
                    <w:rFonts w:hint="eastAsia" w:ascii="宋体" w:hAnsi="宋体" w:eastAsia="宋体" w:cs="宋体"/>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2ODk5NGFkZGYzMTA0YjNhMjA5NzdhOWIzNjBlOWQifQ=="/>
  </w:docVars>
  <w:rsids>
    <w:rsidRoot w:val="00C2316D"/>
    <w:rsid w:val="00001FA1"/>
    <w:rsid w:val="0000362C"/>
    <w:rsid w:val="000366AE"/>
    <w:rsid w:val="000458E8"/>
    <w:rsid w:val="00063E6F"/>
    <w:rsid w:val="00081584"/>
    <w:rsid w:val="00086776"/>
    <w:rsid w:val="00113BE5"/>
    <w:rsid w:val="00160975"/>
    <w:rsid w:val="0019598E"/>
    <w:rsid w:val="001D6CE5"/>
    <w:rsid w:val="001D6D8D"/>
    <w:rsid w:val="00224037"/>
    <w:rsid w:val="00255E65"/>
    <w:rsid w:val="00280E38"/>
    <w:rsid w:val="00304EAA"/>
    <w:rsid w:val="00352655"/>
    <w:rsid w:val="003B786D"/>
    <w:rsid w:val="003C41E8"/>
    <w:rsid w:val="00410B90"/>
    <w:rsid w:val="00414718"/>
    <w:rsid w:val="00494ACD"/>
    <w:rsid w:val="004A2341"/>
    <w:rsid w:val="004D6DDB"/>
    <w:rsid w:val="004E4A4A"/>
    <w:rsid w:val="004F04C2"/>
    <w:rsid w:val="00503C37"/>
    <w:rsid w:val="00540C6A"/>
    <w:rsid w:val="00544860"/>
    <w:rsid w:val="00582666"/>
    <w:rsid w:val="00590DF6"/>
    <w:rsid w:val="00592FE9"/>
    <w:rsid w:val="005A6ADF"/>
    <w:rsid w:val="005E5C22"/>
    <w:rsid w:val="006101A4"/>
    <w:rsid w:val="00653A15"/>
    <w:rsid w:val="00670877"/>
    <w:rsid w:val="006A36B6"/>
    <w:rsid w:val="006A45D6"/>
    <w:rsid w:val="00703C83"/>
    <w:rsid w:val="007154F4"/>
    <w:rsid w:val="00720042"/>
    <w:rsid w:val="00740566"/>
    <w:rsid w:val="00746F99"/>
    <w:rsid w:val="00793AEF"/>
    <w:rsid w:val="007C6A3A"/>
    <w:rsid w:val="00852437"/>
    <w:rsid w:val="008C7E0C"/>
    <w:rsid w:val="00970ECF"/>
    <w:rsid w:val="00990835"/>
    <w:rsid w:val="00A51E0C"/>
    <w:rsid w:val="00A7637B"/>
    <w:rsid w:val="00A96951"/>
    <w:rsid w:val="00AB095A"/>
    <w:rsid w:val="00AF77D9"/>
    <w:rsid w:val="00B20B00"/>
    <w:rsid w:val="00B44304"/>
    <w:rsid w:val="00B57C27"/>
    <w:rsid w:val="00B731E5"/>
    <w:rsid w:val="00B740DB"/>
    <w:rsid w:val="00BB7915"/>
    <w:rsid w:val="00BC2965"/>
    <w:rsid w:val="00C20C2F"/>
    <w:rsid w:val="00C2316D"/>
    <w:rsid w:val="00C25975"/>
    <w:rsid w:val="00C368B8"/>
    <w:rsid w:val="00C4603A"/>
    <w:rsid w:val="00C72D8B"/>
    <w:rsid w:val="00C76E18"/>
    <w:rsid w:val="00CB0CE3"/>
    <w:rsid w:val="00D55B5E"/>
    <w:rsid w:val="00DD60AE"/>
    <w:rsid w:val="00EB4A5A"/>
    <w:rsid w:val="00ED3D98"/>
    <w:rsid w:val="00ED7913"/>
    <w:rsid w:val="00F00369"/>
    <w:rsid w:val="00F023A2"/>
    <w:rsid w:val="00F25DFE"/>
    <w:rsid w:val="00F408D2"/>
    <w:rsid w:val="00F65D04"/>
    <w:rsid w:val="00F732A5"/>
    <w:rsid w:val="00FC5654"/>
    <w:rsid w:val="00FC754B"/>
    <w:rsid w:val="00FF0C38"/>
    <w:rsid w:val="00FF2767"/>
    <w:rsid w:val="0E67321C"/>
    <w:rsid w:val="10FB2BF7"/>
    <w:rsid w:val="194D6400"/>
    <w:rsid w:val="21A8150F"/>
    <w:rsid w:val="278D4A43"/>
    <w:rsid w:val="3A4164A5"/>
    <w:rsid w:val="42EB6390"/>
    <w:rsid w:val="626A01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iPriority w:val="0"/>
    <w:pPr>
      <w:widowControl w:val="0"/>
      <w:adjustRightInd/>
      <w:snapToGrid/>
      <w:spacing w:after="0"/>
      <w:jc w:val="both"/>
    </w:pPr>
    <w:rPr>
      <w:rFonts w:ascii="Times New Roman" w:hAnsi="Times New Roman" w:eastAsia="宋体" w:cs="Times New Roman"/>
      <w:kern w:val="2"/>
      <w:sz w:val="32"/>
      <w:szCs w:val="20"/>
    </w:rPr>
  </w:style>
  <w:style w:type="paragraph" w:styleId="3">
    <w:name w:val="footer"/>
    <w:basedOn w:val="1"/>
    <w:semiHidden/>
    <w:unhideWhenUsed/>
    <w:qFormat/>
    <w:uiPriority w:val="99"/>
    <w:pPr>
      <w:tabs>
        <w:tab w:val="center" w:pos="4153"/>
        <w:tab w:val="right" w:pos="8306"/>
      </w:tabs>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0"/>
    <w:rPr>
      <w:rFonts w:ascii="Times New Roman" w:hAnsi="Times New Roman" w:eastAsia="宋体" w:cs="Times New Roman"/>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1778</Words>
  <Characters>1815</Characters>
  <Lines>13</Lines>
  <Paragraphs>3</Paragraphs>
  <TotalTime>0</TotalTime>
  <ScaleCrop>false</ScaleCrop>
  <LinksUpToDate>false</LinksUpToDate>
  <CharactersWithSpaces>1831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2022-05-12T07:31:00Z</dcterms:created>
  <dc:creator>微软用户</dc:creator>
  <cp:lastModifiedBy>15066213967</cp:lastModifiedBy>
  <cp:lastPrinted>2022-05-16T01:15:24Z</cp:lastPrinted>
  <dcterms:modified xsi:type="dcterms:W3CDTF">2022-05-16T01:15:30Z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70C7EF189B2A43E48B78C0565EDED833</vt:lpwstr>
  </property>
</Properties>
</file>