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行政处罚决定履行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催告书</w:t>
      </w:r>
      <w:bookmarkEnd w:id="0"/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即建罚催告 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名称：山东省即墨市第二建筑工程公司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913702821639430705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住所：山东省青岛即墨市烟青路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法定代表人：李文选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因你单位在轨道交通装备核心部件产业基地建设项目（一期）项目施工过程中，存在允许个人以公司名义承揽工程的违法行为。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依据《建设工程质量管理条例》第二十五条和第六十一条的规定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送达了行政处罚决定书（即建行处字[202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]第0000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在法定期限内既未申请行政复议或者提起行政诉讼，又不履行本机关作出的行政处罚决定。现依据《中华人民共和国行政强制法》第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请你单位自</w:t>
      </w:r>
      <w:r>
        <w:rPr>
          <w:rFonts w:hint="eastAsia" w:ascii="仿宋_GB2312" w:hAnsi="仿宋_GB2312" w:eastAsia="仿宋_GB2312" w:cs="仿宋_GB2312"/>
          <w:sz w:val="32"/>
          <w:szCs w:val="32"/>
        </w:rPr>
        <w:t>本催告书送达之日起十日内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到青岛市即墨区住房和城乡建设局法规科领取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《青岛市非税收入电子缴款通知书》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，并持该通知书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到指定银行或扫描通知书上的二维码缴纳罚款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35.814094万元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依据《中华人民共和国行政处罚法》第七十二条第一款第一项、《中华人民共和国行政强制法》第四十五条的规定，加处罚款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35.814094万元人民币。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对此你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享有陈述权和申辩权。如本催告书送达十日后仍不履行义务的，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将依法申请青岛市即墨区人民法院强制执行。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联系人：青岛市即墨区住房和城乡建设局法规科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88555701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联系地址：青岛市即墨区盛兴路65号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8923559">
    <w:nsid w:val="67A5DE27"/>
    <w:multiLevelType w:val="singleLevel"/>
    <w:tmpl w:val="67A5DE27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389235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7EE3"/>
    <w:rsid w:val="172E7E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2025-02-08T06:05:00Z</dcterms:created>
  <dc:creator>admin</dc:creator>
  <cp:lastModifiedBy>admin</cp:lastModifiedBy>
  <dcterms:modified xsi:type="dcterms:W3CDTF">2025-02-08T06:06:19Z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