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A7EB9">
      <w:pPr>
        <w:jc w:val="left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办理方式：面复                                   标记：A</w:t>
      </w:r>
    </w:p>
    <w:p w14:paraId="3F7C9771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r>
        <w:rPr>
          <w:rFonts w:hint="eastAsia" w:ascii="方正小标宋_GBK" w:hAnsi="宋体" w:eastAsia="方正小标宋_GBK"/>
          <w:spacing w:val="-10"/>
          <w:sz w:val="44"/>
        </w:rPr>
        <w:t>即墨区住房和城乡建设局</w:t>
      </w:r>
    </w:p>
    <w:p w14:paraId="4CC8C636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bookmarkStart w:id="0" w:name="_GoBack"/>
      <w:r>
        <w:rPr>
          <w:rFonts w:hint="eastAsia" w:ascii="方正小标宋_GBK" w:hAnsi="宋体" w:eastAsia="方正小标宋_GBK"/>
          <w:spacing w:val="-10"/>
          <w:sz w:val="44"/>
        </w:rPr>
        <w:t>关于对区政协十五届四次会议第007号</w:t>
      </w:r>
    </w:p>
    <w:p w14:paraId="22E5E93B">
      <w:pPr>
        <w:spacing w:line="600" w:lineRule="exact"/>
        <w:jc w:val="center"/>
        <w:rPr>
          <w:rFonts w:ascii="方正小标宋_GBK" w:hAnsi="宋体" w:eastAsia="方正小标宋_GBK"/>
          <w:spacing w:val="-10"/>
          <w:sz w:val="44"/>
        </w:rPr>
      </w:pPr>
      <w:r>
        <w:rPr>
          <w:rFonts w:hint="eastAsia" w:ascii="方正小标宋_GBK" w:hAnsi="宋体" w:eastAsia="方正小标宋_GBK"/>
          <w:spacing w:val="-10"/>
          <w:sz w:val="44"/>
        </w:rPr>
        <w:t>提案的答复</w:t>
      </w:r>
    </w:p>
    <w:bookmarkEnd w:id="0"/>
    <w:p w14:paraId="645AF8C5">
      <w:pPr>
        <w:spacing w:line="560" w:lineRule="exact"/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</w:p>
    <w:p w14:paraId="356C1A7D">
      <w:pPr>
        <w:spacing w:line="560" w:lineRule="exact"/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吴相菊代表：</w:t>
      </w:r>
    </w:p>
    <w:p w14:paraId="0138106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您提出的“关于推进我区口袋公园建设的提案”收悉。现答复如下：</w:t>
      </w:r>
    </w:p>
    <w:p w14:paraId="22AB8803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近年来，即墨区在城市更新过程中，将城市闲置空间巧妙构思建设，打造成功能多样的“口袋公园”，让市民“推窗见绿、出门入园”。目前，即墨区已建成 11 处综合性公园和60余处口袋公园绿地，实现城区处处见公园、处处有美景，使小小“口袋公园”真正兜起市民休闲健身“大民生”。2025年计划再新建石林一路等3处口袋公园。</w:t>
      </w:r>
    </w:p>
    <w:p w14:paraId="130CA325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在口袋公园的规划建设中，一是突出规划引领，研究制定《即墨区城市绿地系统规划》，结合城区住宅小区和商业楼宇布局，对“口袋公园”绿地建设进行统一规划、科学布局。二是坚持差异化建设，注重功能特色丰富。立足实际、因地制宜，坚持特色化、差异化推进“口袋公园”建设，丰富“口袋公园”的功能特色，真正发挥其实用功能，做到每个公园一个主题，避免“千园一面”，同时融入各类主体元素，体现即墨文化特色。三是突出整体推进，根据城市建设和民生需求情况，每年集中攻坚一批口袋公园建设，利用几年时间形成成方连片、多点布局的整体效益。四是口袋公园建设过程中，进行广泛的社会调研，通过开展口袋公园网上公开征名、方案公示征求意见等活动，积极倡导市民参与“口袋公园”建设，实现共享共建。</w:t>
      </w:r>
    </w:p>
    <w:p w14:paraId="43578535">
      <w:pPr>
        <w:spacing w:line="560" w:lineRule="exact"/>
        <w:ind w:firstLine="640" w:firstLineChars="200"/>
      </w:pPr>
      <w:r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口袋公园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数量多、分布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散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、要求高、养护难的现状，在强化专业化管养的同时，积极探索社会化管理模式，引导社会力量参与公园管理，逐步构建起政府主导、社会协同、群众参与的管理体系。让市民当“管家”。积极引导市民参与“口袋公园”管理维护，依靠群众的力量看护好“家门口”的公园。聘请热心市民就近担任公园绿地“管家”，负责“口袋公园”绿地的园容园貌、设施器材、文明游园等情况监督看护。依托公园绿地“管家”和园林绿地养护人员，组建城区绿地“啄木鸟小分队”，围绕市民反映强烈的短板问题，对公园绿地、沿街绿地等开展地毯式巡访检查，为文明城市建设“找虫”“挑刺”，“啄出”问题、开出良方，确保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口袋公园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及城市绿地始终保持高颜值。</w:t>
      </w:r>
    </w:p>
    <w:p w14:paraId="2818D312">
      <w:pPr>
        <w:rPr>
          <w:rFonts w:ascii="仿宋_GB2312" w:eastAsia="仿宋_GB2312"/>
          <w:spacing w:val="-6"/>
          <w:sz w:val="32"/>
          <w:szCs w:val="32"/>
        </w:rPr>
      </w:pPr>
    </w:p>
    <w:p w14:paraId="0BFCA793">
      <w:pPr>
        <w:jc w:val="right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2025年4月20日</w:t>
      </w:r>
    </w:p>
    <w:p w14:paraId="626382CC">
      <w:pPr>
        <w:spacing w:line="560" w:lineRule="exact"/>
        <w:rPr>
          <w:rFonts w:hint="eastAsia" w:ascii="仿宋_GB2312" w:eastAsia="仿宋_GB2312"/>
          <w:spacing w:val="-6"/>
          <w:sz w:val="32"/>
          <w:szCs w:val="32"/>
        </w:rPr>
      </w:pPr>
    </w:p>
    <w:p w14:paraId="458BD745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14:paraId="5AB232F2">
      <w:pPr>
        <w:spacing w:line="560" w:lineRule="exact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签发领导：</w:t>
      </w:r>
    </w:p>
    <w:p w14:paraId="3987A090">
      <w:pPr>
        <w:pStyle w:val="2"/>
        <w:wordWrap w:val="0"/>
        <w:spacing w:line="560" w:lineRule="exact"/>
        <w:jc w:val="right"/>
        <w:rPr>
          <w:rFonts w:hint="eastAsia"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承办人及电话：王文永 86655907</w:t>
      </w:r>
    </w:p>
    <w:p w14:paraId="49E757F5">
      <w:pPr>
        <w:pStyle w:val="2"/>
        <w:spacing w:line="560" w:lineRule="exact"/>
        <w:jc w:val="left"/>
      </w:pPr>
      <w:r>
        <w:rPr>
          <w:rFonts w:hint="eastAsia" w:ascii="仿宋_GB2312" w:eastAsia="仿宋_GB2312"/>
          <w:spacing w:val="-6"/>
        </w:rPr>
        <w:t>抄送：区政府政务督查室</w:t>
      </w:r>
      <w:r>
        <w:rPr>
          <w:rFonts w:hint="eastAsia"/>
          <w:spacing w:val="-6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8295245"/>
      <w:docPartObj>
        <w:docPartGallery w:val="AutoText"/>
      </w:docPartObj>
    </w:sdtPr>
    <w:sdtContent>
      <w:p w14:paraId="3715318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8C557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C189D"/>
    <w:rsid w:val="007F4478"/>
    <w:rsid w:val="008867B9"/>
    <w:rsid w:val="02C258CD"/>
    <w:rsid w:val="2CE35978"/>
    <w:rsid w:val="2D037E50"/>
    <w:rsid w:val="385C189D"/>
    <w:rsid w:val="3A0D5042"/>
    <w:rsid w:val="40BC0E56"/>
    <w:rsid w:val="4A58004D"/>
    <w:rsid w:val="4DCD1A59"/>
    <w:rsid w:val="4E332199"/>
    <w:rsid w:val="54015741"/>
    <w:rsid w:val="5960448A"/>
    <w:rsid w:val="62691278"/>
    <w:rsid w:val="75746BF5"/>
    <w:rsid w:val="759F341B"/>
    <w:rsid w:val="76707918"/>
    <w:rsid w:val="7DE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32"/>
      <w:szCs w:val="20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rPr>
      <w:spacing w:val="-6"/>
      <w:sz w:val="32"/>
      <w:szCs w:val="32"/>
    </w:r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905</Characters>
  <Lines>1</Lines>
  <Paragraphs>1</Paragraphs>
  <TotalTime>5</TotalTime>
  <ScaleCrop>false</ScaleCrop>
  <LinksUpToDate>false</LinksUpToDate>
  <CharactersWithSpaces>967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2025-01-09T06:54:00Z</dcterms:created>
  <dc:creator>吖 溪肜</dc:creator>
  <cp:lastModifiedBy>Administrator</cp:lastModifiedBy>
  <dcterms:modified xsi:type="dcterms:W3CDTF">2026-01-21T03:10:33Z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8D1C0ED2F3804C9E93726E040752092F_13</vt:lpwstr>
  </property>
  <property fmtid="{D5CDD505-2E9C-101B-9397-08002B2CF9AE}" pid="4" name="KSOTemplateDocerSaveRecord">
    <vt:lpwstr>eyJoZGlkIjoiZTJkNDc2M2MzMDFiM2UzYWRiYWY5YTIwZDBiMzQ5ZDciLCJ1c2VySWQiOiIyMTYyNzUxMTYifQ==</vt:lpwstr>
  </property>
</Properties>
</file>