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4140C2">
      <w:pPr>
        <w:spacing w:line="570" w:lineRule="exact"/>
        <w:jc w:val="righ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标记：A</w:t>
      </w:r>
    </w:p>
    <w:p w14:paraId="412A0D9C">
      <w:pPr>
        <w:spacing w:line="570" w:lineRule="exact"/>
        <w:rPr>
          <w:rFonts w:ascii="黑体" w:hAnsi="黑体" w:eastAsia="黑体"/>
          <w:sz w:val="32"/>
          <w:szCs w:val="36"/>
        </w:rPr>
      </w:pPr>
    </w:p>
    <w:p w14:paraId="276DB1EF">
      <w:pPr>
        <w:spacing w:line="570" w:lineRule="exact"/>
        <w:jc w:val="center"/>
        <w:rPr>
          <w:rFonts w:ascii="方正小标宋_GBK" w:hAnsi="黑体" w:eastAsia="方正小标宋_GBK"/>
          <w:sz w:val="44"/>
          <w:szCs w:val="48"/>
        </w:rPr>
      </w:pPr>
      <w:r>
        <w:rPr>
          <w:rFonts w:hint="eastAsia" w:ascii="方正小标宋_GBK" w:hAnsi="黑体" w:eastAsia="方正小标宋_GBK"/>
          <w:sz w:val="44"/>
          <w:szCs w:val="48"/>
        </w:rPr>
        <w:t>即墨区工业和信息化局</w:t>
      </w:r>
    </w:p>
    <w:p w14:paraId="3108D288">
      <w:pPr>
        <w:spacing w:line="570" w:lineRule="exact"/>
        <w:jc w:val="center"/>
        <w:rPr>
          <w:rFonts w:ascii="方正小标宋_GBK" w:hAnsi="黑体" w:eastAsia="方正小标宋_GBK"/>
          <w:sz w:val="44"/>
          <w:szCs w:val="48"/>
        </w:rPr>
      </w:pPr>
      <w:r>
        <w:rPr>
          <w:rFonts w:hint="eastAsia" w:ascii="方正小标宋_GBK" w:hAnsi="黑体" w:eastAsia="方正小标宋_GBK"/>
          <w:sz w:val="44"/>
          <w:szCs w:val="48"/>
        </w:rPr>
        <w:t>关于对区政协十五届</w:t>
      </w:r>
      <w:r>
        <w:rPr>
          <w:rFonts w:hint="eastAsia" w:ascii="方正小标宋_GBK" w:hAnsi="黑体" w:eastAsia="方正小标宋_GBK"/>
          <w:sz w:val="44"/>
          <w:szCs w:val="48"/>
          <w:lang w:val="en-US" w:eastAsia="zh-CN"/>
        </w:rPr>
        <w:t>四</w:t>
      </w:r>
      <w:r>
        <w:rPr>
          <w:rFonts w:hint="eastAsia" w:ascii="方正小标宋_GBK" w:hAnsi="黑体" w:eastAsia="方正小标宋_GBK"/>
          <w:sz w:val="44"/>
          <w:szCs w:val="48"/>
        </w:rPr>
        <w:t>次会议第</w:t>
      </w:r>
      <w:r>
        <w:rPr>
          <w:rFonts w:hint="eastAsia" w:ascii="方正小标宋_GBK" w:hAnsi="黑体" w:eastAsia="方正小标宋_GBK"/>
          <w:sz w:val="44"/>
          <w:szCs w:val="48"/>
          <w:lang w:val="en-US" w:eastAsia="zh-CN"/>
        </w:rPr>
        <w:t>153</w:t>
      </w:r>
      <w:r>
        <w:rPr>
          <w:rFonts w:hint="eastAsia" w:ascii="方正小标宋_GBK" w:hAnsi="黑体" w:eastAsia="方正小标宋_GBK"/>
          <w:sz w:val="44"/>
          <w:szCs w:val="48"/>
        </w:rPr>
        <w:t>号</w:t>
      </w:r>
    </w:p>
    <w:p w14:paraId="40745AE9">
      <w:pPr>
        <w:spacing w:line="570" w:lineRule="exact"/>
        <w:jc w:val="center"/>
        <w:rPr>
          <w:rFonts w:ascii="方正小标宋_GBK" w:hAnsi="黑体" w:eastAsia="方正小标宋_GBK"/>
          <w:sz w:val="44"/>
          <w:szCs w:val="48"/>
        </w:rPr>
      </w:pPr>
      <w:r>
        <w:rPr>
          <w:rFonts w:hint="eastAsia" w:ascii="方正小标宋_GBK" w:hAnsi="黑体" w:eastAsia="方正小标宋_GBK"/>
          <w:sz w:val="44"/>
          <w:szCs w:val="48"/>
        </w:rPr>
        <w:t>提案的答复</w:t>
      </w:r>
    </w:p>
    <w:p w14:paraId="6710AE77">
      <w:pPr>
        <w:spacing w:line="570" w:lineRule="exact"/>
        <w:jc w:val="center"/>
        <w:rPr>
          <w:rFonts w:ascii="方正小标宋_GBK" w:hAnsi="黑体" w:eastAsia="方正小标宋_GBK"/>
          <w:sz w:val="44"/>
          <w:szCs w:val="48"/>
        </w:rPr>
      </w:pPr>
    </w:p>
    <w:p w14:paraId="1788F27B">
      <w:pPr>
        <w:spacing w:line="570" w:lineRule="exact"/>
        <w:rPr>
          <w:rFonts w:hint="eastAsia"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毛乃伟</w:t>
      </w:r>
      <w:r>
        <w:rPr>
          <w:rFonts w:hint="eastAsia" w:ascii="仿宋" w:hAnsi="仿宋" w:eastAsia="仿宋" w:cs="仿宋"/>
          <w:sz w:val="32"/>
          <w:szCs w:val="36"/>
        </w:rPr>
        <w:t>委员：</w:t>
      </w:r>
    </w:p>
    <w:p w14:paraId="1639A719">
      <w:pPr>
        <w:spacing w:line="570" w:lineRule="exact"/>
        <w:ind w:firstLine="640" w:firstLineChars="200"/>
        <w:rPr>
          <w:rFonts w:hint="eastAsia"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您提出的“关于</w:t>
      </w: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进一步优化</w:t>
      </w:r>
      <w:r>
        <w:rPr>
          <w:rFonts w:hint="eastAsia" w:ascii="仿宋" w:hAnsi="仿宋" w:eastAsia="仿宋" w:cs="仿宋"/>
          <w:sz w:val="32"/>
          <w:szCs w:val="36"/>
        </w:rPr>
        <w:t>营商环境</w:t>
      </w:r>
      <w:r>
        <w:rPr>
          <w:rFonts w:hint="eastAsia" w:ascii="仿宋" w:hAnsi="仿宋" w:eastAsia="仿宋" w:cs="仿宋"/>
          <w:sz w:val="32"/>
          <w:szCs w:val="36"/>
          <w:lang w:eastAsia="zh-CN"/>
        </w:rPr>
        <w:t>的</w:t>
      </w: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政协</w:t>
      </w:r>
      <w:r>
        <w:rPr>
          <w:rFonts w:hint="eastAsia" w:ascii="仿宋" w:hAnsi="仿宋" w:eastAsia="仿宋" w:cs="仿宋"/>
          <w:sz w:val="32"/>
          <w:szCs w:val="36"/>
        </w:rPr>
        <w:t>提案”收悉</w:t>
      </w:r>
      <w:r>
        <w:rPr>
          <w:rFonts w:hint="eastAsia" w:ascii="仿宋" w:hAnsi="仿宋" w:eastAsia="仿宋" w:cs="仿宋"/>
          <w:sz w:val="32"/>
          <w:szCs w:val="36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6"/>
        </w:rPr>
        <w:t>现答复如下：</w:t>
      </w:r>
    </w:p>
    <w:p w14:paraId="10C1B8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baseline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</w:rPr>
        <w:t>区工业和信息化局始终坚持全面落实区委、区政府优化营商环境决策部署，聚力抓好项目促进服务、产业链服务、成本竞争力服务，认真贯彻落实国家、省、市、区各级系列政策，坚持减轻企业负担与援企稳岗同步发力，全力助推我区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工业</w:t>
      </w:r>
      <w:r>
        <w:rPr>
          <w:rFonts w:hint="eastAsia" w:ascii="仿宋" w:hAnsi="仿宋" w:eastAsia="仿宋" w:cs="仿宋"/>
          <w:spacing w:val="0"/>
          <w:sz w:val="32"/>
          <w:szCs w:val="32"/>
        </w:rPr>
        <w:t>企业高质量发展。</w:t>
      </w:r>
    </w:p>
    <w:p w14:paraId="017BF2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rPr>
          <w:rFonts w:ascii="黑体" w:hAnsi="黑体" w:eastAsia="黑体"/>
          <w:spacing w:val="0"/>
          <w:sz w:val="32"/>
          <w:szCs w:val="32"/>
        </w:rPr>
      </w:pPr>
      <w:r>
        <w:rPr>
          <w:rFonts w:hint="eastAsia" w:ascii="黑体" w:hAnsi="黑体" w:eastAsia="黑体"/>
          <w:spacing w:val="0"/>
          <w:sz w:val="32"/>
          <w:szCs w:val="32"/>
        </w:rPr>
        <w:t>一</w:t>
      </w:r>
      <w:r>
        <w:rPr>
          <w:rFonts w:hint="eastAsia" w:ascii="黑体" w:hAnsi="黑体" w:eastAsia="黑体"/>
          <w:spacing w:val="0"/>
          <w:sz w:val="32"/>
          <w:szCs w:val="32"/>
          <w:lang w:eastAsia="zh-CN"/>
        </w:rPr>
        <w:t>、</w:t>
      </w:r>
      <w:r>
        <w:rPr>
          <w:rFonts w:hint="eastAsia" w:ascii="黑体" w:hAnsi="黑体" w:eastAsia="黑体"/>
          <w:spacing w:val="0"/>
          <w:sz w:val="32"/>
          <w:szCs w:val="32"/>
          <w:lang w:val="en-US" w:eastAsia="zh-CN"/>
        </w:rPr>
        <w:t>强化顶层设计引领，推动企业设备更新。</w:t>
      </w:r>
    </w:p>
    <w:p w14:paraId="2C88E4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区工信局牵头出台了《即墨区推动工业领域设备更新实施方案》，从</w:t>
      </w:r>
      <w:r>
        <w:rPr>
          <w:rFonts w:hint="default" w:ascii="仿宋" w:hAnsi="仿宋" w:eastAsia="仿宋" w:cs="仿宋"/>
          <w:sz w:val="32"/>
          <w:szCs w:val="36"/>
          <w:lang w:val="en-US" w:eastAsia="zh-CN"/>
        </w:rPr>
        <w:t>实施先进设备更新行动</w:t>
      </w: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、</w:t>
      </w:r>
      <w:r>
        <w:rPr>
          <w:rFonts w:hint="default" w:ascii="仿宋" w:hAnsi="仿宋" w:eastAsia="仿宋" w:cs="仿宋"/>
          <w:sz w:val="32"/>
          <w:szCs w:val="36"/>
          <w:lang w:val="en-US" w:eastAsia="zh-CN"/>
        </w:rPr>
        <w:t>数字化转型行动</w:t>
      </w: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、</w:t>
      </w:r>
      <w:r>
        <w:rPr>
          <w:rFonts w:hint="default" w:ascii="仿宋" w:hAnsi="仿宋" w:eastAsia="仿宋" w:cs="仿宋"/>
          <w:sz w:val="32"/>
          <w:szCs w:val="36"/>
          <w:lang w:val="en-US" w:eastAsia="zh-CN"/>
        </w:rPr>
        <w:t>绿色装备推广行动</w:t>
      </w: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、</w:t>
      </w:r>
      <w:r>
        <w:rPr>
          <w:rFonts w:hint="default" w:ascii="仿宋" w:hAnsi="仿宋" w:eastAsia="仿宋" w:cs="仿宋"/>
          <w:sz w:val="32"/>
          <w:szCs w:val="36"/>
          <w:lang w:val="en-US" w:eastAsia="zh-CN"/>
        </w:rPr>
        <w:t>本质安全水平提升行动</w:t>
      </w: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、</w:t>
      </w:r>
      <w:r>
        <w:rPr>
          <w:rFonts w:hint="default" w:ascii="仿宋" w:hAnsi="仿宋" w:eastAsia="仿宋" w:cs="仿宋"/>
          <w:sz w:val="32"/>
          <w:szCs w:val="36"/>
          <w:lang w:val="en-US" w:eastAsia="zh-CN"/>
        </w:rPr>
        <w:t>优质设备供给行动</w:t>
      </w: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等五方面，大力推进工业领域设备更新，不断优化营商环境。</w:t>
      </w:r>
    </w:p>
    <w:p w14:paraId="78D4633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加强政策宣传力度，帮助企业学懂弄通</w:t>
      </w:r>
    </w:p>
    <w:p w14:paraId="0E2753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线上方面，通过企业微信交流群等渠道进行政策推送、解读、答疑，让企业第一时间能够详细了解各级支持政策，扩大政策知晓度。线下方面，制做政策宣讲PPT,编制申报指南，明确申报流程、所需材料和注意事项,通过开展下基层政策宣讲会等形式进行广泛宣传，提高企业申报的准确性和成功率；开展企业走访活动，了解企业需求，已为100余家企业精准解读扶持政策，保障各类惠企政策企业“应知尽知”“应享尽享”；实施全程辅导帮办，指导企业申报青岛市技改设备投资奖补、技术改造再贷款等各级政策扶持资金，引导企业采用新技术、新工艺、新设备对传统产业进行技术改造，推动传统产业向高端化、智能化、绿色化方向发展，提高产品附加值和市场竞争力。</w:t>
      </w:r>
    </w:p>
    <w:p w14:paraId="4A060E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pacing w:val="0"/>
          <w:sz w:val="32"/>
          <w:szCs w:val="36"/>
          <w:lang w:val="en-US" w:eastAsia="zh-CN"/>
        </w:rPr>
      </w:pPr>
      <w:r>
        <w:rPr>
          <w:rFonts w:hint="eastAsia" w:ascii="黑体" w:hAnsi="黑体" w:eastAsia="黑体"/>
          <w:spacing w:val="0"/>
          <w:sz w:val="32"/>
          <w:szCs w:val="32"/>
          <w:lang w:val="en-US" w:eastAsia="zh-CN"/>
        </w:rPr>
        <w:t>三、提升服务企业意识</w:t>
      </w:r>
      <w:r>
        <w:rPr>
          <w:rFonts w:hint="eastAsia" w:ascii="黑体" w:hAnsi="黑体" w:eastAsia="黑体"/>
          <w:spacing w:val="0"/>
          <w:sz w:val="32"/>
          <w:szCs w:val="32"/>
        </w:rPr>
        <w:t>，</w:t>
      </w:r>
      <w:r>
        <w:rPr>
          <w:rFonts w:hint="eastAsia" w:ascii="黑体" w:hAnsi="黑体" w:eastAsia="黑体"/>
          <w:spacing w:val="0"/>
          <w:sz w:val="32"/>
          <w:szCs w:val="32"/>
          <w:lang w:val="en-US" w:eastAsia="zh-CN"/>
        </w:rPr>
        <w:t>助力</w:t>
      </w:r>
      <w:r>
        <w:rPr>
          <w:rFonts w:hint="eastAsia" w:ascii="黑体" w:hAnsi="黑体" w:eastAsia="黑体"/>
          <w:spacing w:val="0"/>
          <w:sz w:val="32"/>
          <w:szCs w:val="32"/>
        </w:rPr>
        <w:t>企业</w:t>
      </w:r>
      <w:r>
        <w:rPr>
          <w:rFonts w:hint="eastAsia" w:ascii="黑体" w:hAnsi="黑体" w:eastAsia="黑体"/>
          <w:spacing w:val="0"/>
          <w:sz w:val="32"/>
          <w:szCs w:val="32"/>
          <w:lang w:val="en-US" w:eastAsia="zh-CN"/>
        </w:rPr>
        <w:t>纾困解难</w:t>
      </w:r>
    </w:p>
    <w:p w14:paraId="453DAE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一是开展走访企业行动，以“真走访、见实效”的行动自觉定期联系服务企业，以“有解思维”解决一批制约企业发展的难点堵点，提振企业发展信心，打造一流营商环境。深入走访工业企业，详细了解企业在生产经营方面存在的困难问题，建立问题清单，帮助企业协调解决。同时，广泛收集企业的意见和建议，确保信息来源的多样性和准确性。二是是采取“现场看+现场办”服务模式，深入一汽解放等企业实地办公50余次，详细了解企业当前生产经营状况，根据企业实际，指导企业做好技改项目规划、备案等工作。</w:t>
      </w:r>
    </w:p>
    <w:p w14:paraId="7DDABB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Chars="200" w:firstLine="320" w:firstLineChars="100"/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四、搭建企业交流平台，推动企业互学互助</w:t>
      </w:r>
    </w:p>
    <w:p w14:paraId="3C384C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一是组织企业参加西海岸技改典型现场观摩会，通过分享先进经验、互动交流、实地体验等形式，帮助企业学先进、拓视野、促提升。二是组织70余家企业参观一汽大众AI应用场景和创新奇智，搭建制造业和人工智能企业交流平台，营造AI+制造业氛围。三是组织海尔施特劳斯中高层管理人员到奇瑞和即发集团学习交流，帮助企业解决了车间除尘难题。四是开展技改服务需求调研活动，搭建技改服务商和工业企业交流平台。分行业梳理技改典型案例，遴选2家企业技改服务商、2家成套设备供应商，开展企业技改公益诊断活动。</w:t>
      </w:r>
    </w:p>
    <w:p w14:paraId="218502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四、下步工作措施</w:t>
      </w:r>
    </w:p>
    <w:p w14:paraId="76D16E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一是将进一步加强各级惠企政策宣传力度，积极对接财政部门，加快政策兑现速度，强化财政金融扶持、减轻中小微企业经营负担，持续优化营商环境，助推工业企业高质量发展。二是积极推广自动化、智能制造新模式，加快人机智能交互、工业机器人、智能物流管理等技术装备的应用，建设一批智能车间、智慧工厂，提升企业智能化、自动化水平。三是开展智能制造推广示范，发挥酷特、森麒麟等示范企业的带动和标杆作用，推广智能制造新模式、新工艺，在重点行业、重点企业应用，以点带面，提高企业和行业的智能化水平，促进传统产业转型升级。</w:t>
      </w:r>
    </w:p>
    <w:p w14:paraId="63F33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right"/>
        <w:textAlignment w:val="auto"/>
        <w:rPr>
          <w:rFonts w:hint="eastAsia" w:ascii="仿宋" w:hAnsi="仿宋" w:eastAsia="仿宋" w:cs="仿宋"/>
          <w:spacing w:val="-6"/>
          <w:sz w:val="32"/>
          <w:szCs w:val="36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pacing w:val="-6"/>
          <w:sz w:val="32"/>
          <w:szCs w:val="36"/>
          <w:highlight w:val="none"/>
          <w:lang w:val="en-US" w:eastAsia="zh-CN"/>
        </w:rPr>
        <w:t>即墨区工业和信息化局</w:t>
      </w:r>
    </w:p>
    <w:p w14:paraId="10F35D3E">
      <w:pPr>
        <w:spacing w:line="570" w:lineRule="exact"/>
        <w:jc w:val="right"/>
        <w:rPr>
          <w:rFonts w:hint="eastAsia"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2025</w:t>
      </w:r>
      <w:r>
        <w:rPr>
          <w:rFonts w:hint="eastAsia" w:ascii="仿宋" w:hAnsi="仿宋" w:eastAsia="仿宋" w:cs="仿宋"/>
          <w:sz w:val="32"/>
          <w:szCs w:val="36"/>
        </w:rPr>
        <w:t>年</w:t>
      </w: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6"/>
        </w:rPr>
        <w:t>月</w:t>
      </w: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26</w:t>
      </w:r>
      <w:r>
        <w:rPr>
          <w:rFonts w:hint="eastAsia" w:ascii="仿宋" w:hAnsi="仿宋" w:eastAsia="仿宋" w:cs="仿宋"/>
          <w:sz w:val="32"/>
          <w:szCs w:val="36"/>
        </w:rPr>
        <w:t>日</w:t>
      </w:r>
    </w:p>
    <w:p w14:paraId="50934D7A">
      <w:pPr>
        <w:spacing w:line="570" w:lineRule="exact"/>
        <w:rPr>
          <w:rFonts w:hint="eastAsia"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签发领导：</w:t>
      </w:r>
    </w:p>
    <w:p w14:paraId="79254C31">
      <w:pPr>
        <w:spacing w:line="570" w:lineRule="exact"/>
        <w:ind w:left="4854" w:leftChars="2304" w:hanging="16" w:hangingChars="8"/>
        <w:rPr>
          <w:rFonts w:hint="default" w:ascii="仿宋_GB2312" w:hAnsi="仿宋_GB2312" w:eastAsia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/>
          <w:sz w:val="21"/>
          <w:szCs w:val="21"/>
        </w:rPr>
        <w:t>承办人及电话：</w:t>
      </w:r>
      <w:r>
        <w:rPr>
          <w:rFonts w:hint="eastAsia" w:ascii="仿宋_GB2312" w:hAnsi="仿宋_GB2312" w:eastAsia="仿宋_GB2312"/>
          <w:sz w:val="21"/>
          <w:szCs w:val="21"/>
          <w:lang w:val="en-US" w:eastAsia="zh-CN"/>
        </w:rPr>
        <w:t>宋应东 66091602</w:t>
      </w:r>
    </w:p>
    <w:p w14:paraId="496A2B08">
      <w:pPr>
        <w:spacing w:line="570" w:lineRule="exact"/>
        <w:rPr>
          <w:rFonts w:hint="eastAsia"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抄送：区政府政务督查</w:t>
      </w:r>
      <w:r>
        <w:rPr>
          <w:rFonts w:hint="eastAsia" w:ascii="仿宋" w:hAnsi="仿宋" w:eastAsia="仿宋" w:cs="仿宋"/>
          <w:spacing w:val="-16"/>
          <w:sz w:val="32"/>
          <w:szCs w:val="32"/>
          <w:lang w:val="en-US" w:eastAsia="zh-CN" w:bidi="ar-SA"/>
        </w:rPr>
        <w:t xml:space="preserve">室 </w:t>
      </w:r>
      <w:r>
        <w:rPr>
          <w:rFonts w:hint="eastAsia" w:ascii="仿宋" w:hAnsi="仿宋" w:eastAsia="仿宋" w:cs="仿宋"/>
          <w:sz w:val="32"/>
          <w:szCs w:val="36"/>
        </w:rPr>
        <w:t>区大数据与电子政务服务中心</w:t>
      </w:r>
    </w:p>
    <w:sectPr>
      <w:footerReference r:id="rId3" w:type="default"/>
      <w:pgSz w:w="11906" w:h="16838"/>
      <w:pgMar w:top="2098" w:right="1474" w:bottom="1985" w:left="1588" w:header="851" w:footer="158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62073279"/>
      <w:docPartObj>
        <w:docPartGallery w:val="autotext"/>
      </w:docPartObj>
    </w:sdtPr>
    <w:sdtContent>
      <w:p w14:paraId="790DE1D8">
        <w:pPr>
          <w:pStyle w:val="6"/>
          <w:jc w:val="center"/>
          <w:rPr>
            <w:rFonts w:hint="eastAsia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D690BC"/>
    <w:multiLevelType w:val="singleLevel"/>
    <w:tmpl w:val="7BD690B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355"/>
    <w:rsid w:val="001246BC"/>
    <w:rsid w:val="003A6F78"/>
    <w:rsid w:val="00587306"/>
    <w:rsid w:val="005D2355"/>
    <w:rsid w:val="0079249D"/>
    <w:rsid w:val="009A1259"/>
    <w:rsid w:val="009D284B"/>
    <w:rsid w:val="009F21BF"/>
    <w:rsid w:val="00E43FE3"/>
    <w:rsid w:val="00EF01F6"/>
    <w:rsid w:val="04A42800"/>
    <w:rsid w:val="07990616"/>
    <w:rsid w:val="08145EEF"/>
    <w:rsid w:val="09AE27E6"/>
    <w:rsid w:val="0A0D21C8"/>
    <w:rsid w:val="0CCB0563"/>
    <w:rsid w:val="0E4F7ADB"/>
    <w:rsid w:val="102C4678"/>
    <w:rsid w:val="14394449"/>
    <w:rsid w:val="255C4493"/>
    <w:rsid w:val="33715846"/>
    <w:rsid w:val="357F234A"/>
    <w:rsid w:val="36985DB9"/>
    <w:rsid w:val="3A157721"/>
    <w:rsid w:val="41C230E1"/>
    <w:rsid w:val="48A95C04"/>
    <w:rsid w:val="4CFD651E"/>
    <w:rsid w:val="60706D88"/>
    <w:rsid w:val="61241C19"/>
    <w:rsid w:val="626A4AEC"/>
    <w:rsid w:val="65C6799D"/>
    <w:rsid w:val="67C63C85"/>
    <w:rsid w:val="6DCF13B9"/>
    <w:rsid w:val="73A93E0D"/>
    <w:rsid w:val="7AC01286"/>
    <w:rsid w:val="7E70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99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index 5"/>
    <w:basedOn w:val="1"/>
    <w:next w:val="1"/>
    <w:qFormat/>
    <w:uiPriority w:val="99"/>
    <w:pPr>
      <w:ind w:left="800" w:leftChars="800"/>
    </w:pPr>
    <w:rPr>
      <w:rFonts w:ascii="Calibri" w:hAnsi="Calibri"/>
    </w:rPr>
  </w:style>
  <w:style w:type="paragraph" w:styleId="4">
    <w:name w:val="Body Text"/>
    <w:basedOn w:val="1"/>
    <w:next w:val="3"/>
    <w:qFormat/>
    <w:uiPriority w:val="0"/>
    <w:pPr>
      <w:spacing w:after="120"/>
    </w:pPr>
  </w:style>
  <w:style w:type="paragraph" w:styleId="5">
    <w:name w:val="Body Text Indent"/>
    <w:basedOn w:val="1"/>
    <w:next w:val="2"/>
    <w:qFormat/>
    <w:uiPriority w:val="0"/>
    <w:pPr>
      <w:ind w:firstLine="630"/>
    </w:pPr>
    <w:rPr>
      <w:rFonts w:ascii="仿宋_GB2312" w:eastAsia="仿宋_GB2312"/>
      <w:sz w:val="32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5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1433</Words>
  <Characters>1456</Characters>
  <Lines>1</Lines>
  <Paragraphs>1</Paragraphs>
  <TotalTime>0</TotalTime>
  <ScaleCrop>false</ScaleCrop>
  <LinksUpToDate>false</LinksUpToDate>
  <CharactersWithSpaces>1458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2024-03-29T07:18:00Z</dcterms:created>
  <dc:creator>SunZhiwei1997</dc:creator>
  <cp:lastModifiedBy>W</cp:lastModifiedBy>
  <dcterms:modified xsi:type="dcterms:W3CDTF">2025-03-27T06:53:15Z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eyJoZGlkIjoiYjRmMzljOWY2MjZjNDA4YmRhY2M1ODgxNmIzNmMyMDEiLCJ1c2VySWQiOiI4NDU4NDY3NDAifQ==</vt:lpwstr>
  </property>
  <property fmtid="{D5CDD505-2E9C-101B-9397-08002B2CF9AE}" pid="3" name="KSOProductBuildVer">
    <vt:lpwstr>2052-12.1.0.20305</vt:lpwstr>
  </property>
  <property fmtid="{D5CDD505-2E9C-101B-9397-08002B2CF9AE}" pid="4" name="ICV">
    <vt:lpwstr>879105491BA0454495CA65453EBF8889_12</vt:lpwstr>
  </property>
</Properties>
</file>