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8754F">
      <w:pPr>
        <w:jc w:val="right"/>
        <w:rPr>
          <w:rFonts w:hint="eastAsia" w:ascii="黑体" w:hAnsi="黑体" w:eastAsia="黑体" w:cs="黑体"/>
          <w:b w:val="0"/>
          <w:bCs w:val="0"/>
          <w:snapToGrid/>
          <w:spacing w:val="-10"/>
          <w:kern w:val="2"/>
          <w:sz w:val="28"/>
          <w:szCs w:val="28"/>
          <w:lang w:val="en-US" w:eastAsia="zh-CN" w:bidi="ar-SA"/>
        </w:rPr>
      </w:pPr>
      <w:r>
        <w:rPr>
          <w:rFonts w:hint="eastAsia" w:ascii="黑体" w:hAnsi="黑体" w:eastAsia="黑体" w:cs="黑体"/>
          <w:b w:val="0"/>
          <w:bCs w:val="0"/>
          <w:snapToGrid/>
          <w:spacing w:val="-10"/>
          <w:kern w:val="2"/>
          <w:sz w:val="28"/>
          <w:szCs w:val="28"/>
          <w:lang w:val="en-US" w:eastAsia="zh-CN" w:bidi="ar-SA"/>
        </w:rPr>
        <w:t>标记：A</w:t>
      </w:r>
    </w:p>
    <w:p w14:paraId="117453B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青岛市即墨区行政审批服务局</w:t>
      </w:r>
      <w:bookmarkStart w:id="0" w:name="_GoBack"/>
      <w:bookmarkEnd w:id="0"/>
    </w:p>
    <w:p w14:paraId="533356A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关于对区政协第十五届第四次会议第112号</w:t>
      </w:r>
    </w:p>
    <w:p w14:paraId="06F108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提案的答复</w:t>
      </w:r>
    </w:p>
    <w:p w14:paraId="1670616E">
      <w:pPr>
        <w:pStyle w:val="2"/>
        <w:rPr>
          <w:rFonts w:hint="eastAsia"/>
          <w:lang w:val="en-US" w:eastAsia="zh-CN"/>
        </w:rPr>
      </w:pPr>
    </w:p>
    <w:p w14:paraId="6494E681">
      <w:pPr>
        <w:pStyle w:val="2"/>
        <w:keepNext w:val="0"/>
        <w:keepLines w:val="0"/>
        <w:pageBreakBefore w:val="0"/>
        <w:kinsoku/>
        <w:wordWrap/>
        <w:overflowPunct/>
        <w:topLinePunct w:val="0"/>
        <w:autoSpaceDE/>
        <w:autoSpaceDN/>
        <w:bidi w:val="0"/>
        <w:adjustRightInd/>
        <w:snapToGrid/>
        <w:spacing w:after="0" w:afterLines="0" w:line="560" w:lineRule="exact"/>
        <w:textAlignment w:val="auto"/>
        <w:rPr>
          <w:rFonts w:hint="eastAsia" w:ascii="仿宋_GB2312" w:hAnsi="仿宋_GB2312" w:eastAsia="仿宋_GB2312" w:cs="仿宋_GB2312"/>
          <w:kern w:val="2"/>
          <w:sz w:val="32"/>
          <w:szCs w:val="32"/>
          <w:shd w:val="clear" w:color="auto" w:fill="auto"/>
          <w:lang w:val="en-US" w:eastAsia="zh-CN" w:bidi="ar-SA"/>
        </w:rPr>
      </w:pPr>
      <w:r>
        <w:rPr>
          <w:rFonts w:hint="eastAsia" w:ascii="仿宋_GB2312" w:hAnsi="仿宋_GB2312" w:eastAsia="仿宋_GB2312" w:cs="仿宋_GB2312"/>
          <w:sz w:val="32"/>
          <w:szCs w:val="32"/>
        </w:rPr>
        <w:t>王晋泽</w:t>
      </w:r>
      <w:r>
        <w:rPr>
          <w:rFonts w:hint="eastAsia" w:ascii="仿宋_GB2312" w:hAnsi="仿宋_GB2312" w:eastAsia="仿宋_GB2312" w:cs="仿宋_GB2312"/>
          <w:kern w:val="2"/>
          <w:sz w:val="32"/>
          <w:szCs w:val="32"/>
          <w:shd w:val="clear" w:color="auto" w:fill="auto"/>
          <w:lang w:val="en-US" w:eastAsia="zh-CN" w:bidi="ar-SA"/>
        </w:rPr>
        <w:t>委员：</w:t>
      </w:r>
    </w:p>
    <w:p w14:paraId="60024508">
      <w:pPr>
        <w:pStyle w:val="3"/>
        <w:keepNext w:val="0"/>
        <w:keepLines w:val="0"/>
        <w:pageBreakBefore w:val="0"/>
        <w:kinsoku/>
        <w:wordWrap/>
        <w:overflowPunct/>
        <w:topLinePunct w:val="0"/>
        <w:autoSpaceDE/>
        <w:autoSpaceDN/>
        <w:bidi w:val="0"/>
        <w:adjustRightInd/>
        <w:snapToGrid/>
        <w:spacing w:line="560" w:lineRule="exact"/>
        <w:ind w:left="0" w:leftChars="0" w:firstLine="672" w:firstLineChars="200"/>
        <w:textAlignment w:val="auto"/>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8"/>
          <w:sz w:val="32"/>
          <w:szCs w:val="32"/>
          <w:lang w:val="en-US" w:eastAsia="zh-CN"/>
        </w:rPr>
        <w:t>您提出的“‘防清提’三措并举，有效解决企业通过简易注销登记规避行政处罚”收悉。现答复如下：</w:t>
      </w:r>
    </w:p>
    <w:p w14:paraId="0C266D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right="0" w:righ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为保护国家利益、社会公共利益,维护行政行为的权威和公信力,防止企业存在未履行行政处罚义务以及法院裁判文书确定的义务等情形违法违规注销行为,依据 《中华人民共和国公司法》《中华人民共和国市场主体登记管理条例》《严重违法失信企业名单管理暂行办法》,</w:t>
      </w:r>
      <w:r>
        <w:rPr>
          <w:rFonts w:hint="eastAsia" w:ascii="仿宋_GB2312" w:hAnsi="仿宋_GB2312" w:eastAsia="仿宋_GB2312" w:cs="仿宋_GB2312"/>
          <w:color w:val="000000"/>
          <w:kern w:val="0"/>
          <w:sz w:val="32"/>
          <w:szCs w:val="32"/>
          <w:lang w:val="en-US" w:eastAsia="zh-CN" w:bidi="ar"/>
        </w:rPr>
        <w:t>区行政审批服务局作为企业登记机关，立足职能，从严格审批、预警设置、政策宣传等多方面，配合执法部门做好企业恶意注销防范工作，共同</w:t>
      </w:r>
      <w:r>
        <w:rPr>
          <w:rFonts w:hint="eastAsia" w:ascii="仿宋_GB2312" w:hAnsi="仿宋_GB2312" w:eastAsia="仿宋_GB2312" w:cs="仿宋_GB2312"/>
          <w:sz w:val="32"/>
          <w:szCs w:val="32"/>
          <w:highlight w:val="none"/>
          <w:lang w:val="en-US" w:eastAsia="zh-CN"/>
        </w:rPr>
        <w:t>营造诚信、健康、公平、安全的营商环境。</w:t>
      </w:r>
    </w:p>
    <w:p w14:paraId="46624B6B">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严格依照提交材料规范进行企业注销审批</w:t>
      </w:r>
    </w:p>
    <w:p w14:paraId="7979CC3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秉承依法行政原则，贯彻执行企业登记现行法律法规，规范企业简易注销登记程序和行为，依据国家市场监管总局下发的提交材料规范，严格规范市场主体注销审批流程。对</w:t>
      </w:r>
      <w:r>
        <w:rPr>
          <w:rFonts w:ascii="仿宋_GB2312" w:hAnsi="宋体" w:eastAsia="仿宋_GB2312" w:cs="仿宋_GB2312"/>
          <w:i w:val="0"/>
          <w:iCs w:val="0"/>
          <w:caps w:val="0"/>
          <w:color w:val="000000"/>
          <w:spacing w:val="0"/>
          <w:sz w:val="31"/>
          <w:szCs w:val="31"/>
        </w:rPr>
        <w:t>《中华人民共和国市场主体登记管理条例》</w:t>
      </w:r>
      <w:r>
        <w:rPr>
          <w:rFonts w:hint="eastAsia" w:ascii="仿宋_GB2312" w:hAnsi="仿宋_GB2312" w:eastAsia="仿宋_GB2312" w:cs="仿宋_GB2312"/>
          <w:sz w:val="32"/>
          <w:szCs w:val="32"/>
          <w:highlight w:val="none"/>
          <w:lang w:val="en-US" w:eastAsia="zh-CN"/>
        </w:rPr>
        <w:t>（国务院令第746号）和《市场主体登记管理条例实施细则》（国家市场监管总局52号令）规定的简易注销适用情形严格把关，落实市场主体登记人员实名认证制度，确保股东、法定代表人对企业注销材料及其内容确认签署的真实性、合法性和有效性，对申请一般注销程序的企业，严格审核其清算报告，明确企业注销后债权债务等未尽事宜责任人，防止出现事后难以追责情况。对监管部门（行政处罚部门）或第三人在公示期内对企业简易注销提出异议的，依法不予登记。今年以来，已终止8家被提出异议的企业简易注销程序。</w:t>
      </w:r>
    </w:p>
    <w:p w14:paraId="6C8FCDBA">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建立行政处罚信息共享和衔接配合工作机制</w:t>
      </w:r>
    </w:p>
    <w:p w14:paraId="704D733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Calibri" w:eastAsia="仿宋_GB2312" w:cs="宋体"/>
          <w:kern w:val="2"/>
          <w:sz w:val="32"/>
          <w:szCs w:val="32"/>
          <w:highlight w:val="none"/>
          <w:lang w:val="en-US" w:eastAsia="zh-CN" w:bidi="ar-SA"/>
        </w:rPr>
      </w:pPr>
      <w:r>
        <w:rPr>
          <w:rFonts w:hint="eastAsia" w:ascii="仿宋_GB2312" w:hAnsi="仿宋_GB2312" w:eastAsia="仿宋_GB2312" w:cs="仿宋_GB2312"/>
          <w:sz w:val="32"/>
          <w:szCs w:val="32"/>
          <w:lang w:val="en-US" w:eastAsia="zh-CN"/>
        </w:rPr>
        <w:t>2024年12月9日，区司法局牵头印发了</w:t>
      </w:r>
      <w:r>
        <w:rPr>
          <w:rFonts w:hint="eastAsia" w:ascii="仿宋_GB2312" w:hAnsi="仿宋_GB2312" w:eastAsia="仿宋_GB2312" w:cs="仿宋_GB2312"/>
          <w:sz w:val="32"/>
          <w:szCs w:val="32"/>
        </w:rPr>
        <w:t>《关于加强行政处罚与行政许可信息共享和衔接配合防范市场主体注销登记逃避行政处罚的实施意见》</w:t>
      </w:r>
      <w:r>
        <w:rPr>
          <w:rFonts w:hint="eastAsia" w:ascii="仿宋_GB2312" w:eastAsia="仿宋_GB2312" w:cs="宋体"/>
          <w:kern w:val="2"/>
          <w:sz w:val="32"/>
          <w:szCs w:val="32"/>
          <w:highlight w:val="none"/>
          <w:lang w:val="en-US" w:eastAsia="zh-CN" w:bidi="ar-SA"/>
        </w:rPr>
        <w:t>（</w:t>
      </w:r>
      <w:r>
        <w:rPr>
          <w:rFonts w:hint="eastAsia" w:ascii="仿宋_GB2312" w:eastAsia="仿宋_GB2312"/>
          <w:color w:val="000000"/>
          <w:spacing w:val="-10"/>
          <w:sz w:val="32"/>
          <w:szCs w:val="32"/>
        </w:rPr>
        <w:t>即法委办发〔2024〕</w:t>
      </w:r>
      <w:r>
        <w:rPr>
          <w:rFonts w:hint="eastAsia" w:ascii="仿宋_GB2312" w:eastAsia="仿宋_GB2312"/>
          <w:color w:val="000000"/>
          <w:spacing w:val="-10"/>
          <w:sz w:val="32"/>
          <w:szCs w:val="32"/>
          <w:lang w:val="en-US" w:eastAsia="zh-CN"/>
        </w:rPr>
        <w:t>11</w:t>
      </w:r>
      <w:r>
        <w:rPr>
          <w:rFonts w:hint="eastAsia" w:ascii="仿宋_GB2312" w:eastAsia="仿宋_GB2312"/>
          <w:color w:val="000000"/>
          <w:spacing w:val="-10"/>
          <w:sz w:val="32"/>
          <w:szCs w:val="32"/>
        </w:rPr>
        <w:t>号</w:t>
      </w:r>
      <w:r>
        <w:rPr>
          <w:rFonts w:hint="eastAsia" w:ascii="仿宋_GB2312" w:eastAsia="仿宋_GB2312" w:cs="宋体"/>
          <w:kern w:val="2"/>
          <w:sz w:val="32"/>
          <w:szCs w:val="32"/>
          <w:highlight w:val="none"/>
          <w:lang w:val="en-US" w:eastAsia="zh-CN" w:bidi="ar-SA"/>
        </w:rPr>
        <w:t>）</w:t>
      </w:r>
      <w:r>
        <w:rPr>
          <w:rFonts w:hint="eastAsia" w:ascii="仿宋_GB2312" w:hAnsi="Calibri" w:eastAsia="仿宋_GB2312" w:cs="宋体"/>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建立了事前注销预警、事中风险提示、事后协作配合等三项制度，有效防范企业存在未履行行政处罚义务以及法院裁判文书确定的义务等情形违法违规注销行为。行政执法单位在立案调查过程</w:t>
      </w:r>
      <w:r>
        <w:rPr>
          <w:rFonts w:hint="eastAsia" w:ascii="仿宋_GB2312" w:hAnsi="仿宋_GB2312" w:eastAsia="仿宋_GB2312" w:cs="仿宋_GB2312"/>
          <w:sz w:val="32"/>
          <w:szCs w:val="32"/>
          <w:lang w:val="en-US" w:eastAsia="zh-CN"/>
        </w:rPr>
        <w:t>中对评估风险较大的企业书面发送《限制注销登记预</w:t>
      </w:r>
      <w:r>
        <w:rPr>
          <w:rFonts w:hint="eastAsia" w:ascii="仿宋_GB2312" w:hAnsi="仿宋_GB2312" w:eastAsia="仿宋_GB2312" w:cs="仿宋_GB2312"/>
          <w:sz w:val="32"/>
          <w:szCs w:val="32"/>
          <w:highlight w:val="none"/>
          <w:lang w:val="en-US" w:eastAsia="zh-CN"/>
        </w:rPr>
        <w:t>警函》</w:t>
      </w:r>
      <w:r>
        <w:rPr>
          <w:rFonts w:hint="eastAsia" w:ascii="仿宋_GB2312" w:hAnsi="仿宋_GB2312" w:eastAsia="仿宋_GB2312" w:cs="仿宋_GB2312"/>
          <w:sz w:val="32"/>
          <w:szCs w:val="32"/>
          <w:lang w:val="en-US" w:eastAsia="zh-CN"/>
        </w:rPr>
        <w:t>，我局收到信息后，</w:t>
      </w:r>
      <w:r>
        <w:rPr>
          <w:rFonts w:hint="eastAsia" w:ascii="仿宋_GB2312" w:eastAsia="仿宋_GB2312" w:cs="宋体"/>
          <w:kern w:val="2"/>
          <w:sz w:val="32"/>
          <w:szCs w:val="32"/>
          <w:highlight w:val="none"/>
          <w:lang w:val="en-US" w:eastAsia="zh-CN" w:bidi="ar-SA"/>
        </w:rPr>
        <w:t>立足职能依法对企业进行限制注销登记锁定。</w:t>
      </w:r>
      <w:r>
        <w:rPr>
          <w:rFonts w:hint="eastAsia" w:ascii="仿宋_GB2312" w:hAnsi="仿宋_GB2312" w:eastAsia="仿宋_GB2312" w:cs="仿宋_GB2312"/>
          <w:sz w:val="32"/>
          <w:szCs w:val="32"/>
          <w:lang w:val="en-US" w:eastAsia="zh-CN"/>
        </w:rPr>
        <w:t>企业违法违规办理注销登记逃避行政处罚、行政强制执行等法律责任，经区市场监管部门</w:t>
      </w:r>
      <w:r>
        <w:rPr>
          <w:rFonts w:hint="eastAsia" w:ascii="仿宋_GB2312" w:hAnsi="仿宋_GB2312" w:eastAsia="仿宋_GB2312" w:cs="仿宋_GB2312"/>
          <w:sz w:val="32"/>
          <w:szCs w:val="32"/>
        </w:rPr>
        <w:t>核实处理</w:t>
      </w:r>
      <w:r>
        <w:rPr>
          <w:rFonts w:hint="eastAsia" w:ascii="仿宋_GB2312" w:hAnsi="仿宋_GB2312" w:eastAsia="仿宋_GB2312" w:cs="仿宋_GB2312"/>
          <w:sz w:val="32"/>
          <w:szCs w:val="32"/>
          <w:lang w:val="en-US" w:eastAsia="zh-CN"/>
        </w:rPr>
        <w:t>后，我局配合作出撤销注销登记。</w:t>
      </w:r>
      <w:r>
        <w:rPr>
          <w:rFonts w:hint="eastAsia" w:ascii="仿宋_GB2312" w:eastAsia="仿宋_GB2312" w:cs="宋体"/>
          <w:kern w:val="2"/>
          <w:sz w:val="32"/>
          <w:szCs w:val="32"/>
          <w:highlight w:val="none"/>
          <w:lang w:val="en-US" w:eastAsia="zh-CN" w:bidi="ar-SA"/>
        </w:rPr>
        <w:t>协助</w:t>
      </w:r>
      <w:r>
        <w:rPr>
          <w:rFonts w:hint="eastAsia" w:ascii="仿宋_GB2312" w:hAnsi="Calibri" w:eastAsia="仿宋_GB2312" w:cs="宋体"/>
          <w:kern w:val="2"/>
          <w:sz w:val="32"/>
          <w:szCs w:val="32"/>
          <w:highlight w:val="none"/>
          <w:lang w:val="en-US" w:eastAsia="zh-CN" w:bidi="ar-SA"/>
        </w:rPr>
        <w:t>区</w:t>
      </w:r>
      <w:r>
        <w:rPr>
          <w:rFonts w:hint="eastAsia" w:ascii="仿宋_GB2312" w:eastAsia="仿宋_GB2312" w:cs="宋体"/>
          <w:kern w:val="2"/>
          <w:sz w:val="32"/>
          <w:szCs w:val="32"/>
          <w:highlight w:val="none"/>
          <w:lang w:val="en-US" w:eastAsia="zh-CN" w:bidi="ar-SA"/>
        </w:rPr>
        <w:t>人民</w:t>
      </w:r>
      <w:r>
        <w:rPr>
          <w:rFonts w:hint="eastAsia" w:ascii="仿宋_GB2312" w:hAnsi="Calibri" w:eastAsia="仿宋_GB2312" w:cs="宋体"/>
          <w:kern w:val="2"/>
          <w:sz w:val="32"/>
          <w:szCs w:val="32"/>
          <w:highlight w:val="none"/>
          <w:lang w:val="en-US" w:eastAsia="zh-CN" w:bidi="ar-SA"/>
        </w:rPr>
        <w:t>检察院</w:t>
      </w:r>
      <w:r>
        <w:rPr>
          <w:rFonts w:hint="eastAsia" w:ascii="仿宋_GB2312" w:eastAsia="仿宋_GB2312" w:cs="宋体"/>
          <w:kern w:val="2"/>
          <w:sz w:val="32"/>
          <w:szCs w:val="32"/>
          <w:highlight w:val="none"/>
          <w:lang w:val="en-US" w:eastAsia="zh-CN" w:bidi="ar-SA"/>
        </w:rPr>
        <w:t>对</w:t>
      </w:r>
      <w:r>
        <w:rPr>
          <w:rFonts w:hint="eastAsia" w:ascii="仿宋_GB2312" w:hAnsi="Calibri" w:eastAsia="仿宋_GB2312" w:cs="宋体"/>
          <w:kern w:val="2"/>
          <w:sz w:val="32"/>
          <w:szCs w:val="32"/>
          <w:highlight w:val="none"/>
          <w:lang w:val="en-US" w:eastAsia="zh-CN" w:bidi="ar-SA"/>
        </w:rPr>
        <w:t>作出终结执行程序决定且涉及企业的行政非</w:t>
      </w:r>
      <w:r>
        <w:rPr>
          <w:rFonts w:hint="eastAsia" w:ascii="仿宋_GB2312" w:eastAsia="仿宋_GB2312" w:cs="宋体"/>
          <w:kern w:val="2"/>
          <w:sz w:val="32"/>
          <w:szCs w:val="32"/>
          <w:highlight w:val="none"/>
          <w:lang w:val="en-US" w:eastAsia="zh-CN" w:bidi="ar-SA"/>
        </w:rPr>
        <w:t>诉讼案件信息进行核查，</w:t>
      </w:r>
      <w:r>
        <w:rPr>
          <w:rFonts w:hint="eastAsia" w:ascii="仿宋_GB2312" w:hAnsi="Calibri" w:eastAsia="仿宋_GB2312" w:cs="宋体"/>
          <w:kern w:val="2"/>
          <w:sz w:val="32"/>
          <w:szCs w:val="32"/>
          <w:highlight w:val="none"/>
          <w:lang w:val="en-US" w:eastAsia="zh-CN" w:bidi="ar-SA"/>
        </w:rPr>
        <w:t>对于已经注销的企业,提供相关企业的注销登记档案，包括注销登记信息、清算报告、股东决定、承诺书等材料</w:t>
      </w:r>
      <w:r>
        <w:rPr>
          <w:rFonts w:hint="eastAsia" w:ascii="仿宋_GB2312" w:eastAsia="仿宋_GB2312" w:cs="宋体"/>
          <w:kern w:val="2"/>
          <w:sz w:val="32"/>
          <w:szCs w:val="32"/>
          <w:highlight w:val="none"/>
          <w:lang w:val="en-US" w:eastAsia="zh-CN" w:bidi="ar-SA"/>
        </w:rPr>
        <w:t>。今年以来，协助区人民法院、区人社局劳动监察部门、区应急局等执法单位对30余家企业和个体工商户进行了注销、变更业务锁定。</w:t>
      </w:r>
    </w:p>
    <w:p w14:paraId="3E9E0107">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加大对企业注销程序和法律风险承担的宣传指导</w:t>
      </w:r>
    </w:p>
    <w:p w14:paraId="560DEE3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在为企业提供政务服务的过程中，除告知企业注销登记程序和所需材料外，提示企业恶意注销的法律风险、依法明确责任承担等内容。加大对简易注销程序适用范围的宣传，扩大政策知晓度，指导企业在发布注销公告前或注销公告期内通过“青岛市企业开办智能一体化平台”自行发起“注销状态检查”，查询税务、社保、医保、公积金、海关等账户是否已完成相关未办结事项、是否具备简易注销条件。按照上级部门要求，推广宣传简易注销社保联检，将社会保险缴费情况排查服务前移，对申请简易注销的企业进行社保账户状态联网核查。对于经人社部门提醒，仍未清缴完成的企业，由人社部门在简易注销公告期满前一天提出异议信息，异议信息同步传输至国家企业信用信息公示系统，终止简易注销流程，充分保障参保职工权益。</w:t>
      </w:r>
    </w:p>
    <w:p w14:paraId="61760E8E">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建立健全常态化工作联系制度</w:t>
      </w:r>
    </w:p>
    <w:p w14:paraId="08901E9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加强与区检察院、区</w:t>
      </w:r>
      <w:r>
        <w:rPr>
          <w:rFonts w:hint="eastAsia" w:ascii="仿宋_GB2312" w:hAnsi="仿宋_GB2312" w:eastAsia="仿宋_GB2312" w:cs="仿宋_GB2312"/>
          <w:kern w:val="2"/>
          <w:sz w:val="32"/>
          <w:szCs w:val="32"/>
          <w:highlight w:val="none"/>
          <w:lang w:val="en-US" w:eastAsia="zh-CN" w:bidi="ar-SA"/>
        </w:rPr>
        <w:t>人民法院、市场监管、人社局、应急局等部门的关联，建立行政执法信息共享和衔接配合工作机制，依职能协助做好企业登记档案查询、限制注销登记等工作，确定了工作专员,负责具体对接业务和日常联系,并在调取卷宗、调查取证工作中予以协调配合</w:t>
      </w:r>
      <w:r>
        <w:rPr>
          <w:rFonts w:hint="eastAsia" w:ascii="仿宋_GB2312" w:eastAsia="仿宋_GB2312"/>
          <w:sz w:val="32"/>
          <w:szCs w:val="32"/>
          <w:highlight w:val="none"/>
          <w:lang w:val="en-US" w:eastAsia="zh-CN"/>
        </w:rPr>
        <w:t>。今年以来，共配合执法部门调取企业登记档案20余份。同时根据工作情况及时参加联席会议,形成工作合力,助推诉源治理,进一步杜绝企业违法违规注销行为，共同维护良好的市场经营秩序和营商环境。</w:t>
      </w:r>
    </w:p>
    <w:p w14:paraId="6DEC74B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您的提案为我们进一步做好企业简易注销登记工作提供了重要参考，我们将立足职能，积极配合主管部门</w:t>
      </w:r>
      <w:r>
        <w:rPr>
          <w:rFonts w:hint="eastAsia" w:ascii="仿宋_GB2312" w:hAnsi="仿宋_GB2312" w:eastAsia="仿宋_GB2312" w:cs="仿宋_GB2312"/>
          <w:color w:val="000000"/>
          <w:kern w:val="0"/>
          <w:sz w:val="32"/>
          <w:szCs w:val="32"/>
          <w:lang w:val="en-US" w:eastAsia="zh-CN" w:bidi="ar"/>
        </w:rPr>
        <w:t>做好企业恶意注销防范工作。</w:t>
      </w:r>
      <w:r>
        <w:rPr>
          <w:rFonts w:hint="eastAsia" w:ascii="仿宋_GB2312" w:hAnsi="仿宋_GB2312" w:eastAsia="仿宋_GB2312" w:cs="仿宋_GB2312"/>
          <w:kern w:val="2"/>
          <w:sz w:val="32"/>
          <w:szCs w:val="32"/>
          <w:highlight w:val="none"/>
          <w:lang w:val="en-US" w:eastAsia="zh-CN" w:bidi="ar-SA"/>
        </w:rPr>
        <w:t>持续加强与人大代表、政协委员和社会各界的沟通，凝聚共识、形成合力，共同推动全区营商环境持续优化！</w:t>
      </w:r>
    </w:p>
    <w:p w14:paraId="11A6837A">
      <w:pPr>
        <w:pStyle w:val="2"/>
        <w:rPr>
          <w:rFonts w:hint="eastAsia"/>
          <w:lang w:val="en-US" w:eastAsia="zh-CN"/>
        </w:rPr>
      </w:pPr>
    </w:p>
    <w:p w14:paraId="60E48E8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p>
    <w:p w14:paraId="2C19A29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青岛市即墨区行政审批服务局</w:t>
      </w:r>
    </w:p>
    <w:p w14:paraId="586DE2A4">
      <w:pPr>
        <w:pStyle w:val="2"/>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 xml:space="preserve">                             </w:t>
      </w:r>
      <w:r>
        <w:rPr>
          <w:rFonts w:hint="eastAsia" w:ascii="仿宋_GB2312" w:hAnsi="仿宋_GB2312" w:eastAsia="仿宋_GB2312" w:cs="仿宋_GB2312"/>
          <w:kern w:val="32"/>
          <w:sz w:val="32"/>
          <w:szCs w:val="32"/>
          <w:lang w:val="en-US" w:eastAsia="zh-CN"/>
        </w:rPr>
        <w:t xml:space="preserve">   </w:t>
      </w:r>
      <w:r>
        <w:rPr>
          <w:rFonts w:hint="eastAsia" w:ascii="仿宋_GB2312" w:hAnsi="仿宋_GB2312" w:eastAsia="仿宋_GB2312" w:cs="仿宋_GB2312"/>
          <w:kern w:val="32"/>
          <w:sz w:val="32"/>
          <w:szCs w:val="32"/>
        </w:rPr>
        <w:t xml:space="preserve"> 202</w:t>
      </w:r>
      <w:r>
        <w:rPr>
          <w:rFonts w:hint="eastAsia" w:ascii="仿宋_GB2312" w:hAnsi="仿宋_GB2312" w:eastAsia="仿宋_GB2312" w:cs="仿宋_GB2312"/>
          <w:kern w:val="32"/>
          <w:sz w:val="32"/>
          <w:szCs w:val="32"/>
          <w:lang w:val="en-US" w:eastAsia="zh-CN"/>
        </w:rPr>
        <w:t>5</w:t>
      </w:r>
      <w:r>
        <w:rPr>
          <w:rFonts w:hint="eastAsia" w:ascii="仿宋_GB2312" w:hAnsi="仿宋_GB2312" w:eastAsia="仿宋_GB2312" w:cs="仿宋_GB2312"/>
          <w:kern w:val="32"/>
          <w:sz w:val="32"/>
          <w:szCs w:val="32"/>
        </w:rPr>
        <w:t>年</w:t>
      </w:r>
      <w:r>
        <w:rPr>
          <w:rFonts w:hint="eastAsia" w:ascii="仿宋_GB2312" w:hAnsi="仿宋_GB2312" w:eastAsia="仿宋_GB2312" w:cs="仿宋_GB2312"/>
          <w:kern w:val="32"/>
          <w:sz w:val="32"/>
          <w:szCs w:val="32"/>
          <w:lang w:val="en-US" w:eastAsia="zh-CN"/>
        </w:rPr>
        <w:t>3</w:t>
      </w:r>
      <w:r>
        <w:rPr>
          <w:rFonts w:hint="eastAsia" w:ascii="仿宋_GB2312" w:hAnsi="仿宋_GB2312" w:eastAsia="仿宋_GB2312" w:cs="仿宋_GB2312"/>
          <w:kern w:val="32"/>
          <w:sz w:val="32"/>
          <w:szCs w:val="32"/>
        </w:rPr>
        <w:t>月</w:t>
      </w:r>
      <w:r>
        <w:rPr>
          <w:rFonts w:hint="eastAsia" w:ascii="仿宋_GB2312" w:hAnsi="仿宋_GB2312" w:eastAsia="仿宋_GB2312" w:cs="仿宋_GB2312"/>
          <w:kern w:val="32"/>
          <w:sz w:val="32"/>
          <w:szCs w:val="32"/>
          <w:lang w:val="en-US" w:eastAsia="zh-CN"/>
        </w:rPr>
        <w:t>28</w:t>
      </w:r>
      <w:r>
        <w:rPr>
          <w:rFonts w:hint="eastAsia" w:ascii="仿宋_GB2312" w:hAnsi="仿宋_GB2312" w:eastAsia="仿宋_GB2312" w:cs="仿宋_GB2312"/>
          <w:kern w:val="32"/>
          <w:sz w:val="32"/>
          <w:szCs w:val="32"/>
        </w:rPr>
        <w:t>日</w:t>
      </w:r>
    </w:p>
    <w:p w14:paraId="3DD8B3F7">
      <w:pPr>
        <w:pStyle w:val="2"/>
        <w:rPr>
          <w:rFonts w:hint="default"/>
          <w:lang w:val="en-US" w:eastAsia="zh-CN"/>
        </w:rPr>
      </w:pPr>
      <w:r>
        <w:rPr>
          <w:rFonts w:hint="eastAsia" w:ascii="仿宋_GB2312" w:hAnsi="仿宋_GB2312" w:eastAsia="仿宋_GB2312" w:cs="仿宋_GB2312"/>
          <w:kern w:val="2"/>
          <w:sz w:val="32"/>
          <w:szCs w:val="32"/>
          <w:highlight w:val="none"/>
          <w:lang w:val="en-US" w:eastAsia="zh-CN" w:bidi="ar-SA"/>
        </w:rPr>
        <w:t>签发领导：</w:t>
      </w:r>
    </w:p>
    <w:p w14:paraId="5043157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eastAsia="仿宋_GB2312"/>
          <w:sz w:val="32"/>
          <w:szCs w:val="32"/>
          <w:highlight w:val="none"/>
          <w:lang w:val="en-US" w:eastAsia="zh-CN"/>
        </w:rPr>
      </w:pPr>
    </w:p>
    <w:p w14:paraId="6DAF612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kern w:val="32"/>
          <w:sz w:val="28"/>
          <w:szCs w:val="28"/>
          <w:lang w:val="en-US" w:eastAsia="zh-CN"/>
        </w:rPr>
      </w:pPr>
      <w:r>
        <w:rPr>
          <w:rFonts w:hint="eastAsia" w:ascii="仿宋_GB2312" w:eastAsia="仿宋_GB2312"/>
          <w:sz w:val="32"/>
          <w:szCs w:val="32"/>
          <w:highlight w:val="none"/>
          <w:lang w:val="en-US" w:eastAsia="zh-CN"/>
        </w:rPr>
        <w:t xml:space="preserve">      </w:t>
      </w:r>
      <w:r>
        <w:rPr>
          <w:rFonts w:hint="eastAsia" w:ascii="仿宋_GB2312" w:eastAsia="仿宋_GB2312"/>
          <w:sz w:val="28"/>
          <w:szCs w:val="28"/>
          <w:highlight w:val="none"/>
          <w:lang w:val="en-US" w:eastAsia="zh-CN"/>
        </w:rPr>
        <w:t xml:space="preserve"> 承办人及电话：王明娟 82581519</w:t>
      </w:r>
    </w:p>
    <w:p w14:paraId="573DC1E2">
      <w:pPr>
        <w:pStyle w:val="2"/>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kern w:val="32"/>
          <w:sz w:val="28"/>
          <w:szCs w:val="28"/>
          <w:lang w:val="en-US" w:eastAsia="zh-CN"/>
        </w:rPr>
      </w:pPr>
      <w:r>
        <w:rPr>
          <w:rFonts w:hint="eastAsia" w:ascii="仿宋_GB2312" w:hAnsi="仿宋_GB2312" w:eastAsia="仿宋_GB2312" w:cs="仿宋_GB2312"/>
          <w:kern w:val="32"/>
          <w:sz w:val="28"/>
          <w:szCs w:val="28"/>
          <w:lang w:val="en-US" w:eastAsia="zh-CN"/>
        </w:rPr>
        <w:t>抄送：区政府政务督查室</w:t>
      </w:r>
    </w:p>
    <w:p w14:paraId="2D3E553A">
      <w:pPr>
        <w:keepNext w:val="0"/>
        <w:keepLines w:val="0"/>
        <w:pageBreakBefore w:val="0"/>
        <w:wordWrap/>
        <w:overflowPunct/>
        <w:topLinePunct w:val="0"/>
        <w:bidi w:val="0"/>
        <w:spacing w:line="560" w:lineRule="exact"/>
        <w:rPr>
          <w:sz w:val="32"/>
          <w:szCs w:val="32"/>
        </w:rPr>
      </w:pPr>
    </w:p>
    <w:p w14:paraId="3129AC9E">
      <w:pPr>
        <w:keepNext w:val="0"/>
        <w:keepLines w:val="0"/>
        <w:pageBreakBefore w:val="0"/>
        <w:wordWrap/>
        <w:overflowPunct/>
        <w:topLinePunct w:val="0"/>
        <w:bidi w:val="0"/>
        <w:spacing w:line="560" w:lineRule="exact"/>
        <w:rPr>
          <w:rFonts w:hint="eastAsia" w:ascii="仿宋_GB2312" w:hAnsi="仿宋_GB2312" w:eastAsia="仿宋_GB2312" w:cs="仿宋_GB2312"/>
          <w:sz w:val="32"/>
          <w:szCs w:val="32"/>
          <w:lang w:val="en-US" w:eastAsia="zh-CN"/>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B09A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AF7D9">
                          <w:pPr>
                            <w:pStyle w:val="4"/>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7AF7D9">
                    <w:pPr>
                      <w:pStyle w:val="4"/>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8CFC83"/>
    <w:multiLevelType w:val="singleLevel"/>
    <w:tmpl w:val="CA8CFC8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jOTgzYzM3OGQ0ZGY4YjlhODI0MjUxNmZkOWVmZDEifQ=="/>
  </w:docVars>
  <w:rsids>
    <w:rsidRoot w:val="00000000"/>
    <w:rsid w:val="02A344E4"/>
    <w:rsid w:val="02B250DA"/>
    <w:rsid w:val="05534CFC"/>
    <w:rsid w:val="0ADD5D77"/>
    <w:rsid w:val="181F70EC"/>
    <w:rsid w:val="1DD25E5D"/>
    <w:rsid w:val="1FF71CF6"/>
    <w:rsid w:val="21484179"/>
    <w:rsid w:val="23F0560A"/>
    <w:rsid w:val="24B33EE1"/>
    <w:rsid w:val="26CA7CC0"/>
    <w:rsid w:val="2A465F84"/>
    <w:rsid w:val="2BC90C1A"/>
    <w:rsid w:val="2F735BF6"/>
    <w:rsid w:val="30E14549"/>
    <w:rsid w:val="34A45090"/>
    <w:rsid w:val="3CFD4BC8"/>
    <w:rsid w:val="3E4D1237"/>
    <w:rsid w:val="3EBF1A09"/>
    <w:rsid w:val="3F221A4C"/>
    <w:rsid w:val="3F874C1D"/>
    <w:rsid w:val="3F8C36E0"/>
    <w:rsid w:val="416835C8"/>
    <w:rsid w:val="45600238"/>
    <w:rsid w:val="461C0A6F"/>
    <w:rsid w:val="46CA7FEE"/>
    <w:rsid w:val="46CD45C6"/>
    <w:rsid w:val="480C0722"/>
    <w:rsid w:val="48C50C7E"/>
    <w:rsid w:val="4C481D6D"/>
    <w:rsid w:val="4CED7F85"/>
    <w:rsid w:val="4F9366B7"/>
    <w:rsid w:val="594F6875"/>
    <w:rsid w:val="5D9D6CBD"/>
    <w:rsid w:val="5DC93BBA"/>
    <w:rsid w:val="5F1B39F1"/>
    <w:rsid w:val="60B979FA"/>
    <w:rsid w:val="60D96351"/>
    <w:rsid w:val="60E750C3"/>
    <w:rsid w:val="65067046"/>
    <w:rsid w:val="67B10F88"/>
    <w:rsid w:val="6D9F4E62"/>
    <w:rsid w:val="71B2150C"/>
    <w:rsid w:val="735C3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style>
  <w:style w:type="paragraph" w:styleId="3">
    <w:name w:val="index 5"/>
    <w:basedOn w:val="1"/>
    <w:next w:val="1"/>
    <w:unhideWhenUsed/>
    <w:qFormat/>
    <w:uiPriority w:val="99"/>
    <w:pPr>
      <w:ind w:left="800" w:leftChars="8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1788</Words>
  <Characters>1814</Characters>
  <Lines>0</Lines>
  <Paragraphs>0</Paragraphs>
  <TotalTime>0</TotalTime>
  <ScaleCrop>false</ScaleCrop>
  <LinksUpToDate>false</LinksUpToDate>
  <CharactersWithSpaces>1856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2025-03-10T06:23:00Z</dcterms:created>
  <dc:creator>Administrator</dc:creator>
  <cp:lastModifiedBy>Administrator</cp:lastModifiedBy>
  <dcterms:modified xsi:type="dcterms:W3CDTF">2026-01-09T08:17:21Z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55B6E16E4001444B82CB3FB4F8921BE3_13</vt:lpwstr>
  </property>
  <property fmtid="{D5CDD505-2E9C-101B-9397-08002B2CF9AE}" pid="4" name="KSOTemplateDocerSaveRecord">
    <vt:lpwstr>eyJoZGlkIjoiMWViOTJhYTdiODg0NzZmYjk0ZGRiZWM0NTI0ZmQ1YWUiLCJ1c2VySWQiOiIzNjU4MTcyOTQifQ==</vt:lpwstr>
  </property>
</Properties>
</file>