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left="6147" w:leftChars="2927" w:firstLine="1400" w:firstLineChars="500"/>
        <w:jc w:val="left"/>
        <w:rPr>
          <w:rFonts w:hint="eastAsia" w:ascii="黑体" w:hAnsi="宋体" w:eastAsia="黑体" w:cs="宋体"/>
          <w:color w:val="auto"/>
          <w:sz w:val="28"/>
          <w:szCs w:val="28"/>
        </w:rPr>
      </w:pPr>
      <w:r>
        <w:rPr>
          <w:rFonts w:hint="eastAsia" w:ascii="黑体" w:hAnsi="宋体" w:eastAsia="黑体" w:cs="宋体"/>
          <w:color w:val="auto"/>
          <w:sz w:val="28"/>
          <w:szCs w:val="28"/>
        </w:rPr>
        <w:t>标记:A</w:t>
      </w:r>
    </w:p>
    <w:p>
      <w:pPr>
        <w:tabs>
          <w:tab w:val="left" w:pos="3608"/>
          <w:tab w:val="left" w:pos="5269"/>
          <w:tab w:val="left" w:pos="7352"/>
        </w:tabs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</w:rPr>
        <w:t>青岛市即墨区农业农村局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</w:rPr>
        <w:t>关于对区政协十五届四次会议第82号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</w:rPr>
        <w:t>提案的答复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</w:rPr>
      </w:pPr>
    </w:p>
    <w:p>
      <w:pPr>
        <w:pStyle w:val="6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pacing w:val="-6"/>
        </w:rPr>
      </w:pPr>
      <w:r>
        <w:rPr>
          <w:rFonts w:hint="eastAsia" w:ascii="仿宋_GB2312" w:hAnsi="仿宋_GB2312" w:eastAsia="仿宋_GB2312" w:cs="仿宋_GB2312"/>
          <w:color w:val="auto"/>
          <w:spacing w:val="-6"/>
        </w:rPr>
        <w:t>孙吉同委员:</w:t>
      </w:r>
    </w:p>
    <w:p>
      <w:pPr>
        <w:pStyle w:val="6"/>
        <w:spacing w:line="520" w:lineRule="exact"/>
        <w:ind w:firstLine="616" w:firstLineChars="200"/>
        <w:jc w:val="left"/>
        <w:rPr>
          <w:rFonts w:hint="eastAsia" w:ascii="仿宋_GB2312" w:hAnsi="仿宋_GB2312" w:eastAsia="仿宋_GB2312" w:cs="仿宋_GB2312"/>
          <w:bCs/>
          <w:color w:val="auto"/>
          <w:spacing w:val="-6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您提出的“加强撂荒土地整治，推进农业高质量发展”的建议收悉。现答复如下:</w:t>
      </w:r>
    </w:p>
    <w:p>
      <w:pPr>
        <w:pStyle w:val="6"/>
        <w:spacing w:line="520" w:lineRule="exact"/>
        <w:ind w:firstLine="616" w:firstLineChars="200"/>
        <w:jc w:val="left"/>
        <w:rPr>
          <w:rFonts w:hint="eastAsia" w:ascii="仿宋_GB2312" w:hAnsi="仿宋_GB2312" w:eastAsia="仿宋_GB2312" w:cs="仿宋_GB2312"/>
          <w:bCs/>
          <w:color w:val="auto"/>
          <w:spacing w:val="-6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在新时代乡村振兴的征程中，加强撂荒地整治已然成为推动农业高质量发展的关键突破口。近年来，区农业农村局积极行动，通过精准摸排，利用现代信息技术</w:t>
      </w:r>
      <w:r>
        <w:rPr>
          <w:rFonts w:hint="eastAsia" w:ascii="仿宋_GB2312" w:hAnsi="仿宋_GB2312" w:eastAsia="仿宋_GB2312" w:cs="仿宋_GB2312"/>
          <w:bCs/>
          <w:color w:val="auto"/>
          <w:spacing w:val="-6"/>
          <w:lang w:val="en-US" w:eastAsia="zh-CN"/>
        </w:rPr>
        <w:t>摸排</w:t>
      </w: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撂荒地“</w:t>
      </w:r>
      <w:r>
        <w:rPr>
          <w:rFonts w:hint="eastAsia" w:ascii="仿宋_GB2312" w:hAnsi="仿宋_GB2312" w:eastAsia="仿宋_GB2312" w:cs="仿宋_GB2312"/>
          <w:bCs/>
          <w:color w:val="auto"/>
          <w:spacing w:val="-6"/>
          <w:lang w:val="en-US" w:eastAsia="zh-CN"/>
        </w:rPr>
        <w:t>图斑</w:t>
      </w: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”，为后续治理提供清晰指引。同时，</w:t>
      </w:r>
      <w:r>
        <w:rPr>
          <w:rFonts w:hint="eastAsia" w:ascii="仿宋_GB2312" w:hAnsi="仿宋_GB2312" w:eastAsia="仿宋_GB2312" w:cs="仿宋_GB2312"/>
          <w:bCs/>
          <w:color w:val="auto"/>
          <w:spacing w:val="-6"/>
          <w:lang w:val="en-US" w:eastAsia="zh-CN"/>
        </w:rPr>
        <w:t>高质量完成</w:t>
      </w: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高标准农田建设任务</w:t>
      </w:r>
      <w:r>
        <w:rPr>
          <w:rFonts w:hint="eastAsia" w:ascii="仿宋_GB2312" w:hAnsi="仿宋_GB2312" w:eastAsia="仿宋_GB2312" w:cs="仿宋_GB2312"/>
          <w:bCs/>
          <w:color w:val="auto"/>
          <w:spacing w:val="-6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auto"/>
          <w:spacing w:val="-6"/>
          <w:lang w:val="en-US" w:eastAsia="zh-CN"/>
        </w:rPr>
        <w:t>构建规范高效的农村土地流转服务体系，以线上交易的方式提高了土地流转效率。，下一步，我们将持续发力，</w:t>
      </w: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加强撂荒土地整治，推进农业高质量发展</w:t>
      </w:r>
      <w:r>
        <w:rPr>
          <w:rFonts w:hint="eastAsia" w:ascii="仿宋_GB2312" w:hAnsi="仿宋_GB2312" w:eastAsia="仿宋_GB2312" w:cs="仿宋_GB2312"/>
          <w:bCs/>
          <w:color w:val="auto"/>
          <w:spacing w:val="-6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auto"/>
          <w:spacing w:val="-6"/>
          <w:lang w:val="en-US" w:eastAsia="zh-CN"/>
        </w:rPr>
        <w:t>为即墨区乡村振兴贡献力量。</w:t>
      </w:r>
    </w:p>
    <w:p>
      <w:pPr>
        <w:pStyle w:val="6"/>
        <w:numPr>
          <w:ilvl w:val="0"/>
          <w:numId w:val="1"/>
        </w:numPr>
        <w:spacing w:line="520" w:lineRule="exact"/>
        <w:ind w:firstLine="616" w:firstLineChars="200"/>
        <w:jc w:val="left"/>
        <w:rPr>
          <w:rFonts w:hint="eastAsia" w:ascii="黑体" w:hAnsi="黑体" w:eastAsia="黑体" w:cs="黑体"/>
          <w:bCs/>
          <w:color w:val="auto"/>
          <w:spacing w:val="-6"/>
        </w:rPr>
      </w:pPr>
      <w:r>
        <w:rPr>
          <w:rFonts w:hint="eastAsia" w:ascii="黑体" w:hAnsi="黑体" w:eastAsia="黑体" w:cs="黑体"/>
          <w:bCs/>
          <w:color w:val="auto"/>
          <w:spacing w:val="-6"/>
          <w:lang w:val="en-US" w:eastAsia="zh-CN"/>
        </w:rPr>
        <w:t>科技赋能</w:t>
      </w:r>
      <w:r>
        <w:rPr>
          <w:rFonts w:hint="eastAsia" w:ascii="黑体" w:hAnsi="黑体" w:eastAsia="黑体" w:cs="黑体"/>
          <w:bCs/>
          <w:color w:val="auto"/>
          <w:spacing w:val="-6"/>
        </w:rPr>
        <w:t>，</w:t>
      </w:r>
      <w:r>
        <w:rPr>
          <w:rFonts w:hint="eastAsia" w:ascii="黑体" w:hAnsi="黑体" w:eastAsia="黑体" w:cs="黑体"/>
          <w:bCs/>
          <w:color w:val="auto"/>
          <w:spacing w:val="-6"/>
          <w:lang w:val="en-US" w:eastAsia="zh-CN"/>
        </w:rPr>
        <w:t>有效推进撂荒地治理</w:t>
      </w:r>
    </w:p>
    <w:p>
      <w:pPr>
        <w:pStyle w:val="6"/>
        <w:spacing w:line="520" w:lineRule="exact"/>
        <w:ind w:firstLine="636" w:firstLineChars="200"/>
        <w:jc w:val="left"/>
        <w:rPr>
          <w:rFonts w:hint="eastAsia"/>
          <w:color w:val="auto"/>
          <w:spacing w:val="-1"/>
        </w:rPr>
      </w:pPr>
      <w:r>
        <w:rPr>
          <w:rFonts w:hint="eastAsia" w:cs="宋体"/>
          <w:color w:val="auto"/>
          <w:spacing w:val="-1"/>
          <w:lang w:val="en-US" w:eastAsia="zh-CN"/>
        </w:rPr>
        <w:t>2024年即墨区</w:t>
      </w:r>
      <w:bookmarkStart w:id="0" w:name="_GoBack"/>
      <w:bookmarkEnd w:id="0"/>
      <w:r>
        <w:rPr>
          <w:rFonts w:hint="eastAsia" w:cs="宋体"/>
          <w:color w:val="auto"/>
          <w:spacing w:val="-1"/>
          <w:lang w:val="en-US" w:eastAsia="zh-CN"/>
        </w:rPr>
        <w:t>农业农村局</w:t>
      </w:r>
      <w:r>
        <w:rPr>
          <w:rFonts w:hint="eastAsia" w:ascii="宋体" w:hAnsi="宋体" w:eastAsia="宋体" w:cs="宋体"/>
          <w:color w:val="auto"/>
          <w:spacing w:val="-1"/>
        </w:rPr>
        <w:t>依托农业农村部“农事直通”移动端软件开展全区撂荒耕地情况调查摸底，全面摸清底数、分析原因，根据农时，指导镇街开展复耕复种工作。</w:t>
      </w:r>
      <w:r>
        <w:rPr>
          <w:rFonts w:hint="eastAsia" w:cs="宋体"/>
          <w:color w:val="auto"/>
          <w:spacing w:val="-1"/>
          <w:lang w:val="en-US" w:eastAsia="zh-CN"/>
        </w:rPr>
        <w:t>同时依托</w:t>
      </w:r>
      <w:r>
        <w:rPr>
          <w:rFonts w:hint="eastAsia" w:ascii="宋体" w:hAnsi="宋体" w:eastAsia="宋体" w:cs="宋体"/>
          <w:color w:val="auto"/>
          <w:spacing w:val="-1"/>
        </w:rPr>
        <w:t>移动端软件做好撂荒地举证补录工作，根据农时，指导镇街推进复耕复种工作。</w:t>
      </w:r>
    </w:p>
    <w:p>
      <w:pPr>
        <w:pStyle w:val="6"/>
        <w:spacing w:line="520" w:lineRule="exact"/>
        <w:jc w:val="left"/>
        <w:rPr>
          <w:rFonts w:hint="eastAsia" w:ascii="宋体" w:hAnsi="宋体" w:eastAsia="宋体" w:cs="宋体"/>
          <w:color w:val="auto"/>
          <w:spacing w:val="-1"/>
        </w:rPr>
      </w:pPr>
      <w:r>
        <w:rPr>
          <w:rFonts w:hint="eastAsia"/>
          <w:color w:val="auto"/>
          <w:spacing w:val="-1"/>
          <w:lang w:val="en-US" w:eastAsia="zh-CN"/>
        </w:rPr>
        <w:t>继续深入研究</w:t>
      </w:r>
      <w:r>
        <w:rPr>
          <w:rFonts w:hint="eastAsia"/>
          <w:color w:val="auto"/>
          <w:spacing w:val="-1"/>
        </w:rPr>
        <w:t>“非粮化”工作相关新政策新方法，引导督促镇街有效防止基本农田“非粮化”。</w:t>
      </w:r>
      <w:r>
        <w:rPr>
          <w:rFonts w:hint="eastAsia"/>
          <w:color w:val="auto"/>
          <w:spacing w:val="-1"/>
          <w:lang w:val="en-US" w:eastAsia="zh-CN"/>
        </w:rPr>
        <w:t>及时</w:t>
      </w:r>
      <w:r>
        <w:rPr>
          <w:rFonts w:hint="eastAsia"/>
          <w:color w:val="auto"/>
          <w:spacing w:val="-1"/>
        </w:rPr>
        <w:t>根据上级下达的撂荒耕地复耕复种工作任务，督促镇街加快推进问题图斑摸排及复耕复种工作；加强和青岛市局的沟通协调，确保复耕复种工作的顺利推进。</w:t>
      </w:r>
    </w:p>
    <w:p>
      <w:pPr>
        <w:pStyle w:val="6"/>
        <w:numPr>
          <w:ilvl w:val="0"/>
          <w:numId w:val="1"/>
        </w:numPr>
        <w:spacing w:line="520" w:lineRule="exact"/>
        <w:ind w:firstLine="616" w:firstLineChars="200"/>
        <w:jc w:val="left"/>
        <w:rPr>
          <w:rFonts w:hint="default" w:ascii="黑体" w:hAnsi="黑体" w:eastAsia="黑体" w:cs="黑体"/>
          <w:bCs/>
          <w:color w:val="auto"/>
          <w:spacing w:val="-6"/>
          <w:lang w:val="en-US"/>
        </w:rPr>
      </w:pPr>
      <w:r>
        <w:rPr>
          <w:rFonts w:hint="eastAsia" w:ascii="黑体" w:hAnsi="黑体" w:eastAsia="黑体" w:cs="黑体"/>
          <w:bCs/>
          <w:color w:val="auto"/>
          <w:spacing w:val="-6"/>
          <w:lang w:val="en-US" w:eastAsia="zh-CN"/>
        </w:rPr>
        <w:t>因地制宜</w:t>
      </w:r>
      <w:r>
        <w:rPr>
          <w:rFonts w:hint="eastAsia" w:ascii="黑体" w:hAnsi="黑体" w:eastAsia="黑体" w:cs="黑体"/>
          <w:bCs/>
          <w:color w:val="auto"/>
          <w:spacing w:val="-6"/>
        </w:rPr>
        <w:t>，做好</w:t>
      </w:r>
      <w:r>
        <w:rPr>
          <w:rFonts w:hint="eastAsia" w:ascii="黑体" w:hAnsi="黑体" w:eastAsia="黑体" w:cs="黑体"/>
          <w:bCs/>
          <w:color w:val="auto"/>
          <w:spacing w:val="-6"/>
          <w:lang w:val="en-US" w:eastAsia="zh-CN"/>
        </w:rPr>
        <w:t>高标准农田建设</w:t>
      </w:r>
    </w:p>
    <w:p>
      <w:pPr>
        <w:pStyle w:val="6"/>
        <w:spacing w:line="520" w:lineRule="exact"/>
        <w:ind w:firstLine="636" w:firstLineChars="200"/>
        <w:jc w:val="left"/>
        <w:rPr>
          <w:rFonts w:hint="eastAsia"/>
        </w:rPr>
      </w:pPr>
      <w:r>
        <w:rPr>
          <w:rFonts w:hint="eastAsia"/>
          <w:color w:val="0000FF"/>
          <w:spacing w:val="-1"/>
        </w:rPr>
        <w:t>根据2025年度高标准农田建设任务，初步计划在移风店镇、田横镇、大信街道和温泉街道实施高标准农田项目，在项目区域内符合条件的地块进行土地治理，进行土地平整和土壤增肥，</w:t>
      </w:r>
      <w:r>
        <w:rPr>
          <w:rFonts w:hint="eastAsia"/>
        </w:rPr>
        <w:t>根据不同地区种植作物的种类及种植问题，添加具有解磷、解钾、固氮、生防及防治根结线虫等多种功能性菌种堆肥产品，因地制宜施用生物多效堆肥，提</w:t>
      </w:r>
      <w:r>
        <w:rPr>
          <w:rFonts w:hint="eastAsia"/>
          <w:color w:val="0000FF"/>
          <w:spacing w:val="-1"/>
        </w:rPr>
        <w:t>高</w:t>
      </w:r>
      <w:r>
        <w:rPr>
          <w:rFonts w:hint="eastAsia" w:ascii="仿宋_GB2312" w:hAnsi="仿宋_GB2312" w:eastAsia="仿宋_GB2312" w:cs="仿宋_GB2312"/>
          <w:szCs w:val="40"/>
        </w:rPr>
        <w:t>土壤有机质含量，</w:t>
      </w:r>
      <w:r>
        <w:rPr>
          <w:rFonts w:hint="eastAsia"/>
          <w:color w:val="0000FF"/>
          <w:spacing w:val="-1"/>
        </w:rPr>
        <w:t>提</w:t>
      </w:r>
      <w:r>
        <w:rPr>
          <w:rFonts w:hint="eastAsia"/>
        </w:rPr>
        <w:t>升</w:t>
      </w:r>
      <w:r>
        <w:rPr>
          <w:rFonts w:hint="eastAsia"/>
          <w:color w:val="0000FF"/>
          <w:spacing w:val="-1"/>
        </w:rPr>
        <w:t>土地利用率。同时，配套实施农田水利设施和生产道路建设，经初步勘察梳理，计划清淤、浆砌平塘24座，疏浚排水沟25条、修建农用井2座，建设高效节水灌溉1550亩，全面提升农业设施水平。</w:t>
      </w:r>
      <w:r>
        <w:rPr>
          <w:rFonts w:hint="eastAsia"/>
        </w:rPr>
        <w:t>待上级下达正式建设任务后，组织方案编写并报青岛市农业农村局评审，批复后组织实施。</w:t>
      </w:r>
    </w:p>
    <w:p>
      <w:pPr>
        <w:pStyle w:val="6"/>
        <w:spacing w:line="520" w:lineRule="exact"/>
        <w:ind w:firstLine="616" w:firstLineChars="200"/>
        <w:jc w:val="left"/>
        <w:rPr>
          <w:rFonts w:hint="default" w:ascii="黑体" w:hAnsi="黑体" w:eastAsia="黑体" w:cs="黑体"/>
          <w:bCs/>
          <w:color w:val="auto"/>
          <w:spacing w:val="-6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pacing w:val="-6"/>
        </w:rPr>
        <w:t>三、把握</w:t>
      </w:r>
      <w:r>
        <w:rPr>
          <w:rFonts w:hint="eastAsia" w:ascii="黑体" w:hAnsi="黑体" w:eastAsia="黑体" w:cs="黑体"/>
          <w:bCs/>
          <w:color w:val="auto"/>
          <w:spacing w:val="-6"/>
          <w:lang w:val="en-US" w:eastAsia="zh-CN"/>
        </w:rPr>
        <w:t>关键点</w:t>
      </w:r>
      <w:r>
        <w:rPr>
          <w:rFonts w:hint="eastAsia" w:ascii="黑体" w:hAnsi="黑体" w:eastAsia="黑体" w:cs="黑体"/>
          <w:bCs/>
          <w:color w:val="auto"/>
          <w:spacing w:val="-6"/>
        </w:rPr>
        <w:t>，</w:t>
      </w:r>
      <w:r>
        <w:rPr>
          <w:rFonts w:hint="eastAsia" w:ascii="黑体" w:hAnsi="黑体" w:eastAsia="黑体" w:cs="黑体"/>
          <w:bCs/>
          <w:color w:val="auto"/>
          <w:spacing w:val="-6"/>
          <w:lang w:val="en-US" w:eastAsia="zh-CN"/>
        </w:rPr>
        <w:t>搭建土地流转平台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36" w:firstLineChars="200"/>
        <w:jc w:val="left"/>
        <w:textAlignment w:val="auto"/>
        <w:rPr>
          <w:rFonts w:hint="eastAsia"/>
          <w:color w:val="auto"/>
          <w:spacing w:val="-1"/>
          <w:lang w:val="en-US" w:eastAsia="zh-CN"/>
        </w:rPr>
      </w:pPr>
      <w:r>
        <w:rPr>
          <w:rFonts w:hint="eastAsia"/>
          <w:color w:val="auto"/>
          <w:spacing w:val="-1"/>
          <w:lang w:val="en-US" w:eastAsia="zh-CN"/>
        </w:rPr>
        <w:t>构建规范高效的农村土地流转服务体系，以线上交易的方式，明确搭建“区（市）-镇（街道）-村（社区）”三级交易平台体系，指导全区农村产权流转交易规范化工作。一是推动农村产权品种交易、要素流转，构建“产权明晰化、要素资本化、交易数字化、监管穿透化”的新型农村要素市场体系，有效促进土地高效流转。二是探索健全交易体系、规范设置交易流程、完善交易规则及土地流转机制，促进服务体系标准化、交易程序规范化、资金管理规范化，保障农民权益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36" w:firstLineChars="200"/>
        <w:jc w:val="left"/>
        <w:textAlignment w:val="auto"/>
        <w:rPr>
          <w:rFonts w:hint="eastAsia"/>
          <w:color w:val="auto"/>
          <w:spacing w:val="-1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36" w:firstLineChars="200"/>
        <w:jc w:val="left"/>
        <w:textAlignment w:val="auto"/>
        <w:rPr>
          <w:rFonts w:hint="eastAsia"/>
          <w:color w:val="auto"/>
          <w:spacing w:val="-1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firstLine="636" w:firstLineChars="200"/>
        <w:jc w:val="left"/>
        <w:textAlignment w:val="auto"/>
        <w:rPr>
          <w:rFonts w:hint="eastAsia"/>
          <w:color w:val="auto"/>
          <w:spacing w:val="-1"/>
          <w:lang w:val="en-US" w:eastAsia="zh-CN"/>
        </w:rPr>
      </w:pPr>
    </w:p>
    <w:p>
      <w:pPr>
        <w:pStyle w:val="6"/>
        <w:spacing w:line="520" w:lineRule="exact"/>
        <w:ind w:firstLine="4620" w:firstLineChars="1500"/>
        <w:jc w:val="left"/>
        <w:rPr>
          <w:rFonts w:hint="eastAsia" w:ascii="仿宋_GB2312" w:hAnsi="仿宋_GB2312" w:eastAsia="仿宋_GB2312" w:cs="仿宋_GB2312"/>
          <w:bCs/>
          <w:color w:val="auto"/>
          <w:spacing w:val="-6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 xml:space="preserve">青岛市即墨区农业农村局    </w:t>
      </w:r>
    </w:p>
    <w:p>
      <w:pPr>
        <w:pStyle w:val="6"/>
        <w:spacing w:line="520" w:lineRule="exact"/>
        <w:ind w:firstLine="616" w:firstLineChars="200"/>
        <w:jc w:val="left"/>
        <w:rPr>
          <w:rFonts w:hint="eastAsia" w:ascii="仿宋_GB2312" w:hAnsi="仿宋_GB2312" w:eastAsia="仿宋_GB2312" w:cs="仿宋_GB2312"/>
          <w:bCs/>
          <w:color w:val="auto"/>
          <w:spacing w:val="-6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 xml:space="preserve">                                2025年3月27日  </w:t>
      </w:r>
    </w:p>
    <w:p>
      <w:pPr>
        <w:pStyle w:val="6"/>
        <w:spacing w:line="520" w:lineRule="exact"/>
        <w:ind w:firstLine="616" w:firstLineChars="200"/>
        <w:jc w:val="left"/>
        <w:rPr>
          <w:rFonts w:hint="eastAsia" w:ascii="仿宋_GB2312" w:hAnsi="仿宋_GB2312" w:eastAsia="仿宋_GB2312" w:cs="仿宋_GB2312"/>
          <w:bCs/>
          <w:color w:val="auto"/>
          <w:spacing w:val="-6"/>
        </w:rPr>
      </w:pPr>
    </w:p>
    <w:p>
      <w:pPr>
        <w:pStyle w:val="6"/>
        <w:spacing w:line="520" w:lineRule="exact"/>
        <w:ind w:firstLine="616" w:firstLineChars="200"/>
        <w:jc w:val="left"/>
        <w:rPr>
          <w:rFonts w:hint="eastAsia" w:ascii="仿宋_GB2312" w:hAnsi="仿宋_GB2312" w:eastAsia="仿宋_GB2312" w:cs="仿宋_GB2312"/>
          <w:bCs/>
          <w:color w:val="auto"/>
          <w:spacing w:val="-6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签发领导:徐永杰</w:t>
      </w:r>
    </w:p>
    <w:p>
      <w:pPr>
        <w:pStyle w:val="6"/>
        <w:spacing w:line="520" w:lineRule="exact"/>
        <w:ind w:firstLine="616" w:firstLineChars="200"/>
        <w:jc w:val="left"/>
        <w:rPr>
          <w:rFonts w:hint="eastAsia" w:ascii="仿宋_GB2312" w:hAnsi="仿宋_GB2312" w:eastAsia="仿宋_GB2312" w:cs="仿宋_GB2312"/>
          <w:bCs/>
          <w:color w:val="auto"/>
          <w:spacing w:val="-6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承办人及电话:巩荣  85510056</w:t>
      </w:r>
    </w:p>
    <w:p>
      <w:pPr>
        <w:pStyle w:val="6"/>
        <w:spacing w:line="520" w:lineRule="exact"/>
        <w:ind w:firstLine="616" w:firstLineChars="200"/>
        <w:jc w:val="left"/>
        <w:rPr>
          <w:rFonts w:hint="eastAsia" w:eastAsia="仿宋_GB2312"/>
          <w:color w:val="auto"/>
          <w:spacing w:val="-6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-6"/>
        </w:rPr>
        <w:t>抄送:区政府政务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</w:rPr>
        <w:t>督查室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D382166"/>
    <w:multiLevelType w:val="singleLevel"/>
    <w:tmpl w:val="BD3821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4NGRlMWIxYzQ1YWU5ZmFlNDA3NjU5ZDIxNzJkMjIifQ=="/>
  </w:docVars>
  <w:rsids>
    <w:rsidRoot w:val="007472B6"/>
    <w:rsid w:val="00003A2C"/>
    <w:rsid w:val="00006E23"/>
    <w:rsid w:val="0001670C"/>
    <w:rsid w:val="00042BFC"/>
    <w:rsid w:val="00075BA4"/>
    <w:rsid w:val="000D1F1E"/>
    <w:rsid w:val="00125595"/>
    <w:rsid w:val="00144D56"/>
    <w:rsid w:val="001B6215"/>
    <w:rsid w:val="001C741F"/>
    <w:rsid w:val="002027CC"/>
    <w:rsid w:val="002770A4"/>
    <w:rsid w:val="0028755C"/>
    <w:rsid w:val="00296EB8"/>
    <w:rsid w:val="00297C70"/>
    <w:rsid w:val="002B73C2"/>
    <w:rsid w:val="002C0B61"/>
    <w:rsid w:val="003028A9"/>
    <w:rsid w:val="00306C76"/>
    <w:rsid w:val="00320A51"/>
    <w:rsid w:val="00352AE3"/>
    <w:rsid w:val="00397F7B"/>
    <w:rsid w:val="00402F13"/>
    <w:rsid w:val="0044339A"/>
    <w:rsid w:val="004D4CD1"/>
    <w:rsid w:val="005652C9"/>
    <w:rsid w:val="005739EE"/>
    <w:rsid w:val="006050FA"/>
    <w:rsid w:val="006223A8"/>
    <w:rsid w:val="006260DF"/>
    <w:rsid w:val="00630182"/>
    <w:rsid w:val="00642A55"/>
    <w:rsid w:val="00677EA9"/>
    <w:rsid w:val="00681149"/>
    <w:rsid w:val="006B27F6"/>
    <w:rsid w:val="006C431A"/>
    <w:rsid w:val="006E6FA9"/>
    <w:rsid w:val="006F1422"/>
    <w:rsid w:val="006F5CB4"/>
    <w:rsid w:val="0072468E"/>
    <w:rsid w:val="00745362"/>
    <w:rsid w:val="007472B6"/>
    <w:rsid w:val="00754E68"/>
    <w:rsid w:val="00786A6C"/>
    <w:rsid w:val="007C5F3E"/>
    <w:rsid w:val="007D54C7"/>
    <w:rsid w:val="00801C47"/>
    <w:rsid w:val="0084062F"/>
    <w:rsid w:val="00870E28"/>
    <w:rsid w:val="00875783"/>
    <w:rsid w:val="00885B10"/>
    <w:rsid w:val="008A3C78"/>
    <w:rsid w:val="008B099F"/>
    <w:rsid w:val="008C187B"/>
    <w:rsid w:val="009030DA"/>
    <w:rsid w:val="00940EC5"/>
    <w:rsid w:val="009736D0"/>
    <w:rsid w:val="009B5FDE"/>
    <w:rsid w:val="009C60DA"/>
    <w:rsid w:val="009D3373"/>
    <w:rsid w:val="009E1BAC"/>
    <w:rsid w:val="00A0448F"/>
    <w:rsid w:val="00A04AF4"/>
    <w:rsid w:val="00A208C9"/>
    <w:rsid w:val="00A7656D"/>
    <w:rsid w:val="00AA2EF2"/>
    <w:rsid w:val="00AC4A36"/>
    <w:rsid w:val="00AD6E9F"/>
    <w:rsid w:val="00AE3B63"/>
    <w:rsid w:val="00AF48C0"/>
    <w:rsid w:val="00B01670"/>
    <w:rsid w:val="00B11B15"/>
    <w:rsid w:val="00B15920"/>
    <w:rsid w:val="00B15F71"/>
    <w:rsid w:val="00B63609"/>
    <w:rsid w:val="00B76F92"/>
    <w:rsid w:val="00BB2920"/>
    <w:rsid w:val="00BC55AA"/>
    <w:rsid w:val="00BE6DE3"/>
    <w:rsid w:val="00BF7A65"/>
    <w:rsid w:val="00C669F3"/>
    <w:rsid w:val="00C72051"/>
    <w:rsid w:val="00C83458"/>
    <w:rsid w:val="00C85B57"/>
    <w:rsid w:val="00CB57DC"/>
    <w:rsid w:val="00CB5E98"/>
    <w:rsid w:val="00CE748A"/>
    <w:rsid w:val="00CF30D1"/>
    <w:rsid w:val="00D26BFF"/>
    <w:rsid w:val="00D67472"/>
    <w:rsid w:val="00DC274E"/>
    <w:rsid w:val="00DE3F4E"/>
    <w:rsid w:val="00E23D54"/>
    <w:rsid w:val="00E5493A"/>
    <w:rsid w:val="00E6284A"/>
    <w:rsid w:val="00E815DF"/>
    <w:rsid w:val="00E81E2C"/>
    <w:rsid w:val="00E9518A"/>
    <w:rsid w:val="00EA450E"/>
    <w:rsid w:val="00EC32C8"/>
    <w:rsid w:val="00EE2FCC"/>
    <w:rsid w:val="00EE66D8"/>
    <w:rsid w:val="00F40C43"/>
    <w:rsid w:val="00FF4AE4"/>
    <w:rsid w:val="00FF79C6"/>
    <w:rsid w:val="015939D2"/>
    <w:rsid w:val="019C66EB"/>
    <w:rsid w:val="01AF5332"/>
    <w:rsid w:val="02663C42"/>
    <w:rsid w:val="03207B35"/>
    <w:rsid w:val="03D42E2E"/>
    <w:rsid w:val="04112078"/>
    <w:rsid w:val="04EF40AF"/>
    <w:rsid w:val="059C2DBA"/>
    <w:rsid w:val="05EF05E7"/>
    <w:rsid w:val="0B1C57E6"/>
    <w:rsid w:val="0D42369A"/>
    <w:rsid w:val="0EC36494"/>
    <w:rsid w:val="0EC75A69"/>
    <w:rsid w:val="0F206A4D"/>
    <w:rsid w:val="0FB250A1"/>
    <w:rsid w:val="10C304B2"/>
    <w:rsid w:val="10CD4C4E"/>
    <w:rsid w:val="10E04EE4"/>
    <w:rsid w:val="10E741A0"/>
    <w:rsid w:val="115F18F8"/>
    <w:rsid w:val="13A05641"/>
    <w:rsid w:val="13CF5DB6"/>
    <w:rsid w:val="150A13D5"/>
    <w:rsid w:val="174C2BC2"/>
    <w:rsid w:val="18FC7483"/>
    <w:rsid w:val="199D5A5B"/>
    <w:rsid w:val="1A951111"/>
    <w:rsid w:val="1B6F3710"/>
    <w:rsid w:val="1B6F54BE"/>
    <w:rsid w:val="1BE5538C"/>
    <w:rsid w:val="1C112159"/>
    <w:rsid w:val="1C4832F9"/>
    <w:rsid w:val="1CB533A4"/>
    <w:rsid w:val="1D5E4AA3"/>
    <w:rsid w:val="1E23112A"/>
    <w:rsid w:val="1FC57DA2"/>
    <w:rsid w:val="203C5B4F"/>
    <w:rsid w:val="21365669"/>
    <w:rsid w:val="24FA63AA"/>
    <w:rsid w:val="2535650B"/>
    <w:rsid w:val="26015036"/>
    <w:rsid w:val="26D92385"/>
    <w:rsid w:val="274E73F2"/>
    <w:rsid w:val="27FD412F"/>
    <w:rsid w:val="284A2313"/>
    <w:rsid w:val="28B05368"/>
    <w:rsid w:val="29372AEB"/>
    <w:rsid w:val="2BAC1147"/>
    <w:rsid w:val="2D957AE7"/>
    <w:rsid w:val="2F263D63"/>
    <w:rsid w:val="30AE5BA4"/>
    <w:rsid w:val="31140B8A"/>
    <w:rsid w:val="31A33CBC"/>
    <w:rsid w:val="329A1838"/>
    <w:rsid w:val="32CB7E61"/>
    <w:rsid w:val="3306260B"/>
    <w:rsid w:val="36FE3102"/>
    <w:rsid w:val="370566DE"/>
    <w:rsid w:val="3706078D"/>
    <w:rsid w:val="380E46D0"/>
    <w:rsid w:val="38464A78"/>
    <w:rsid w:val="3CF86454"/>
    <w:rsid w:val="3D422DC3"/>
    <w:rsid w:val="3DD95B13"/>
    <w:rsid w:val="3F033FEC"/>
    <w:rsid w:val="3F970A7C"/>
    <w:rsid w:val="3FA96F4A"/>
    <w:rsid w:val="3FC855AD"/>
    <w:rsid w:val="41011C47"/>
    <w:rsid w:val="4184429B"/>
    <w:rsid w:val="41F474FD"/>
    <w:rsid w:val="42287632"/>
    <w:rsid w:val="426E1E2D"/>
    <w:rsid w:val="4343721B"/>
    <w:rsid w:val="47E75335"/>
    <w:rsid w:val="48AE5ABE"/>
    <w:rsid w:val="4A157EB0"/>
    <w:rsid w:val="4A243541"/>
    <w:rsid w:val="4BC32090"/>
    <w:rsid w:val="4C76404F"/>
    <w:rsid w:val="4D5E5753"/>
    <w:rsid w:val="4FD33566"/>
    <w:rsid w:val="50131FA2"/>
    <w:rsid w:val="50FC03FD"/>
    <w:rsid w:val="51ED5D33"/>
    <w:rsid w:val="55A7794B"/>
    <w:rsid w:val="56E02A30"/>
    <w:rsid w:val="59363BB2"/>
    <w:rsid w:val="5A206A87"/>
    <w:rsid w:val="5A455061"/>
    <w:rsid w:val="5AC14805"/>
    <w:rsid w:val="5B155711"/>
    <w:rsid w:val="62DB2C43"/>
    <w:rsid w:val="6377272F"/>
    <w:rsid w:val="64FE3346"/>
    <w:rsid w:val="65FF07B9"/>
    <w:rsid w:val="66BD74F6"/>
    <w:rsid w:val="69BF30B2"/>
    <w:rsid w:val="6AC50223"/>
    <w:rsid w:val="6C206A90"/>
    <w:rsid w:val="6D3E606B"/>
    <w:rsid w:val="6D795A2D"/>
    <w:rsid w:val="6FB36394"/>
    <w:rsid w:val="6FE33A1C"/>
    <w:rsid w:val="72AF233E"/>
    <w:rsid w:val="72FD748E"/>
    <w:rsid w:val="74682FC3"/>
    <w:rsid w:val="748C3B60"/>
    <w:rsid w:val="766D176F"/>
    <w:rsid w:val="767173BA"/>
    <w:rsid w:val="776808B4"/>
    <w:rsid w:val="78FF3476"/>
    <w:rsid w:val="79986827"/>
    <w:rsid w:val="79DB77B6"/>
    <w:rsid w:val="7A106FE1"/>
    <w:rsid w:val="7A401228"/>
    <w:rsid w:val="7A88301C"/>
    <w:rsid w:val="7B2D4B82"/>
    <w:rsid w:val="7C231ED6"/>
    <w:rsid w:val="7C75312C"/>
    <w:rsid w:val="7CEC0961"/>
    <w:rsid w:val="7D580A83"/>
    <w:rsid w:val="7E3B25FE"/>
    <w:rsid w:val="7E503D08"/>
    <w:rsid w:val="7E977CD1"/>
    <w:rsid w:val="7EC2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1"/>
    <w:pPr>
      <w:spacing w:before="101"/>
      <w:ind w:left="246"/>
      <w:outlineLvl w:val="0"/>
    </w:pPr>
    <w:rPr>
      <w:rFonts w:ascii="宋体" w:hAnsi="宋体" w:cs="宋体"/>
      <w:sz w:val="44"/>
      <w:szCs w:val="44"/>
    </w:rPr>
  </w:style>
  <w:style w:type="paragraph" w:styleId="3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unhideWhenUsed/>
    <w:qFormat/>
    <w:uiPriority w:val="0"/>
    <w:pPr>
      <w:spacing w:line="240" w:lineRule="atLeast"/>
      <w:ind w:firstLine="420"/>
    </w:pPr>
    <w:rPr>
      <w:rFonts w:eastAsia="仿宋_GB2312"/>
      <w:sz w:val="32"/>
      <w:szCs w:val="32"/>
    </w:rPr>
  </w:style>
  <w:style w:type="paragraph" w:styleId="6">
    <w:name w:val="Body Text"/>
    <w:basedOn w:val="1"/>
    <w:link w:val="18"/>
    <w:qFormat/>
    <w:uiPriority w:val="1"/>
    <w:rPr>
      <w:rFonts w:ascii="宋体" w:hAnsi="宋体" w:cs="宋体"/>
      <w:sz w:val="32"/>
      <w:szCs w:val="32"/>
    </w:rPr>
  </w:style>
  <w:style w:type="paragraph" w:styleId="7">
    <w:name w:val="Body Text Indent"/>
    <w:basedOn w:val="1"/>
    <w:next w:val="5"/>
    <w:qFormat/>
    <w:uiPriority w:val="0"/>
    <w:pPr>
      <w:widowControl/>
      <w:spacing w:line="620" w:lineRule="exact"/>
      <w:ind w:right="-84" w:rightChars="-44" w:firstLine="570"/>
      <w:jc w:val="left"/>
    </w:pPr>
    <w:rPr>
      <w:rFonts w:ascii="仿宋_GB2312" w:hAnsi="华文中宋" w:eastAsia="仿宋_GB2312"/>
      <w:szCs w:val="32"/>
    </w:rPr>
  </w:style>
  <w:style w:type="paragraph" w:styleId="8">
    <w:name w:val="Balloon Text"/>
    <w:basedOn w:val="1"/>
    <w:link w:val="22"/>
    <w:qFormat/>
    <w:uiPriority w:val="0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Title"/>
    <w:basedOn w:val="1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</w:rPr>
  </w:style>
  <w:style w:type="paragraph" w:styleId="12">
    <w:name w:val="Body Text First Indent 2"/>
    <w:basedOn w:val="7"/>
    <w:unhideWhenUsed/>
    <w:qFormat/>
    <w:uiPriority w:val="99"/>
    <w:pPr>
      <w:spacing w:line="600" w:lineRule="exact"/>
      <w:ind w:left="59" w:leftChars="28" w:firstLine="420" w:firstLineChars="200"/>
    </w:pPr>
    <w:rPr>
      <w:sz w:val="28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6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  <w:style w:type="character" w:customStyle="1" w:styleId="17">
    <w:name w:val="标题 1 字符"/>
    <w:basedOn w:val="15"/>
    <w:link w:val="2"/>
    <w:qFormat/>
    <w:uiPriority w:val="1"/>
    <w:rPr>
      <w:rFonts w:ascii="宋体" w:hAnsi="宋体" w:eastAsia="宋体" w:cs="宋体"/>
      <w:sz w:val="44"/>
      <w:szCs w:val="44"/>
    </w:rPr>
  </w:style>
  <w:style w:type="character" w:customStyle="1" w:styleId="18">
    <w:name w:val="正文文本 字符"/>
    <w:basedOn w:val="15"/>
    <w:link w:val="6"/>
    <w:qFormat/>
    <w:uiPriority w:val="1"/>
    <w:rPr>
      <w:rFonts w:ascii="宋体" w:hAnsi="宋体" w:eastAsia="宋体" w:cs="宋体"/>
      <w:sz w:val="32"/>
      <w:szCs w:val="32"/>
    </w:rPr>
  </w:style>
  <w:style w:type="character" w:customStyle="1" w:styleId="19">
    <w:name w:val="标题 3 字符"/>
    <w:basedOn w:val="15"/>
    <w:link w:val="3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0">
    <w:name w:val="页眉 字符"/>
    <w:basedOn w:val="15"/>
    <w:link w:val="10"/>
    <w:qFormat/>
    <w:uiPriority w:val="99"/>
    <w:rPr>
      <w:sz w:val="18"/>
      <w:szCs w:val="18"/>
    </w:rPr>
  </w:style>
  <w:style w:type="character" w:customStyle="1" w:styleId="21">
    <w:name w:val="页脚 字符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框文本 字符"/>
    <w:basedOn w:val="15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3">
    <w:name w:val="Table Paragraph"/>
    <w:basedOn w:val="1"/>
    <w:qFormat/>
    <w:uiPriority w:val="1"/>
    <w:rPr>
      <w:rFonts w:ascii="宋体" w:hAnsi="宋体" w:cs="宋体"/>
    </w:rPr>
  </w:style>
  <w:style w:type="character" w:customStyle="1" w:styleId="24">
    <w:name w:val="NormalCharacter"/>
    <w:semiHidden/>
    <w:qFormat/>
    <w:uiPriority w:val="0"/>
  </w:style>
  <w:style w:type="character" w:customStyle="1" w:styleId="25">
    <w:name w:val="标题 4 字符"/>
    <w:basedOn w:val="15"/>
    <w:link w:val="4"/>
    <w:qFormat/>
    <w:uiPriority w:val="0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26">
    <w:name w:val="正文1"/>
    <w:basedOn w:val="1"/>
    <w:qFormat/>
    <w:uiPriority w:val="99"/>
    <w:pPr>
      <w:adjustRightInd w:val="0"/>
      <w:spacing w:line="318" w:lineRule="atLeast"/>
      <w:ind w:left="369" w:firstLine="369"/>
      <w:textAlignment w:val="baseline"/>
    </w:pPr>
    <w:rPr>
      <w:rFonts w:ascii="宋体" w:cs="宋体"/>
    </w:rPr>
  </w:style>
  <w:style w:type="paragraph" w:customStyle="1" w:styleId="27">
    <w:name w:val="一级条标题"/>
    <w:next w:val="28"/>
    <w:qFormat/>
    <w:uiPriority w:val="0"/>
    <w:pPr>
      <w:spacing w:beforeLines="50" w:afterLines="50"/>
      <w:jc w:val="both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8">
    <w:name w:val="段"/>
    <w:next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宋体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Table Text"/>
    <w:basedOn w:val="1"/>
    <w:semiHidden/>
    <w:qFormat/>
    <w:uiPriority w:val="0"/>
    <w:rPr>
      <w:rFonts w:ascii="仿宋" w:hAnsi="仿宋" w:eastAsia="仿宋" w:cs="仿宋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4</Pages>
  <Words>252</Words>
  <Characters>1441</Characters>
  <Lines>12</Lines>
  <Paragraphs>3</Paragraphs>
  <TotalTime>20</TotalTime>
  <ScaleCrop>false</ScaleCrop>
  <LinksUpToDate>false</LinksUpToDate>
  <CharactersWithSpaces>1690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2025-03-28T01:07:00Z</dcterms:created>
  <dc:creator>Windows 用户</dc:creator>
  <cp:lastModifiedBy>Administrator</cp:lastModifiedBy>
  <dcterms:modified xsi:type="dcterms:W3CDTF">2025-03-28T06:41:50Z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5627B5E082E4495EB825DEAD48BBE6AD</vt:lpwstr>
  </property>
  <property fmtid="{D5CDD505-2E9C-101B-9397-08002B2CF9AE}" pid="4" name="KSOTemplateDocerSaveRecord">
    <vt:lpwstr>eyJoZGlkIjoiZmQ2ODk5NGFkZGYzMTA0YjNhMjA5NzdhOWIzNjBlOWQiLCJ1c2VySWQiOiI5Nzg0MDMyNzIifQ==</vt:lpwstr>
  </property>
</Properties>
</file>