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rPr>
          <w:rFonts w:ascii="黑体" w:eastAsia="黑体"/>
          <w:sz w:val="28"/>
        </w:rPr>
      </w:pPr>
      <w:r>
        <w:rPr>
          <w:rFonts w:hint="eastAsia" w:ascii="黑体" w:eastAsia="黑体"/>
          <w:sz w:val="28"/>
        </w:rPr>
        <w:t>标记：</w:t>
      </w:r>
      <w:r>
        <w:rPr>
          <w:rFonts w:hint="eastAsia" w:ascii="黑体" w:eastAsia="黑体"/>
          <w:spacing w:val="-4"/>
          <w:sz w:val="28"/>
        </w:rPr>
        <w:t>A</w:t>
      </w:r>
    </w:p>
    <w:p>
      <w:pPr>
        <w:spacing w:line="600" w:lineRule="exact"/>
        <w:jc w:val="center"/>
        <w:rPr>
          <w:rFonts w:ascii="宋体" w:hAnsi="宋体"/>
          <w:spacing w:val="-10"/>
          <w:sz w:val="44"/>
        </w:rPr>
      </w:pPr>
    </w:p>
    <w:p>
      <w:pPr>
        <w:spacing w:line="600" w:lineRule="exact"/>
        <w:jc w:val="center"/>
        <w:rPr>
          <w:rFonts w:ascii="方正小标宋_GBK" w:hAnsi="宋体" w:eastAsia="方正小标宋_GBK"/>
          <w:spacing w:val="-10"/>
          <w:sz w:val="44"/>
        </w:rPr>
      </w:pPr>
      <w:r>
        <w:rPr>
          <w:rFonts w:hint="eastAsia" w:ascii="方正小标宋_GBK" w:hAnsi="宋体" w:eastAsia="方正小标宋_GBK"/>
          <w:spacing w:val="-10"/>
          <w:sz w:val="44"/>
        </w:rPr>
        <w:t>即墨区卫生健康局</w:t>
      </w:r>
    </w:p>
    <w:p>
      <w:pPr>
        <w:spacing w:line="600" w:lineRule="exact"/>
        <w:jc w:val="center"/>
        <w:rPr>
          <w:rFonts w:ascii="方正小标宋_GBK" w:hAnsi="宋体" w:eastAsia="方正小标宋_GBK"/>
          <w:spacing w:val="-10"/>
          <w:sz w:val="44"/>
        </w:rPr>
      </w:pPr>
      <w:r>
        <w:rPr>
          <w:rFonts w:hint="eastAsia" w:ascii="方正小标宋_GBK" w:hAnsi="宋体" w:eastAsia="方正小标宋_GBK"/>
          <w:spacing w:val="-10"/>
          <w:sz w:val="44"/>
        </w:rPr>
        <w:t>关于对区政协十五届四次会议第198号</w:t>
      </w:r>
    </w:p>
    <w:p>
      <w:pPr>
        <w:spacing w:line="600" w:lineRule="exact"/>
        <w:jc w:val="center"/>
        <w:rPr>
          <w:rFonts w:ascii="方正小标宋_GBK" w:hAnsi="宋体" w:eastAsia="方正小标宋_GBK"/>
          <w:spacing w:val="-10"/>
          <w:sz w:val="44"/>
        </w:rPr>
      </w:pPr>
      <w:r>
        <w:rPr>
          <w:rFonts w:hint="eastAsia" w:ascii="方正小标宋_GBK" w:hAnsi="宋体" w:eastAsia="方正小标宋_GBK"/>
          <w:spacing w:val="-10"/>
          <w:sz w:val="44"/>
        </w:rPr>
        <w:t>提案的答复</w:t>
      </w:r>
    </w:p>
    <w:p>
      <w:pPr>
        <w:spacing w:line="560" w:lineRule="exact"/>
        <w:jc w:val="center"/>
        <w:rPr>
          <w:rFonts w:ascii="仿宋_GB2312" w:hAnsi="仿宋_GB2312" w:eastAsia="仿宋_GB2312" w:cs="仿宋_GB2312"/>
          <w:sz w:val="32"/>
          <w:szCs w:val="32"/>
        </w:rPr>
      </w:pP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张秀芹</w:t>
      </w:r>
      <w:r>
        <w:rPr>
          <w:rFonts w:hint="eastAsia" w:ascii="仿宋_GB2312" w:hAnsi="仿宋_GB2312" w:eastAsia="仿宋_GB2312" w:cs="仿宋_GB2312"/>
          <w:spacing w:val="-6"/>
          <w:sz w:val="32"/>
          <w:szCs w:val="32"/>
        </w:rPr>
        <w:t>委员：</w:t>
      </w: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    您提出的“关于加强县域医共体建设，提高县域内就医满意度的建议”收悉。现答复如下：</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一、按照“大病重病在本市解决，一般疾病在区市解决，头疼脑热在镇村解决”的目标，坚持边建边畅，</w:t>
      </w:r>
      <w:r>
        <w:rPr>
          <w:rFonts w:hint="eastAsia" w:ascii="仿宋_GB2312" w:hAnsi="仿宋_GB2312" w:eastAsia="仿宋_GB2312" w:cs="仿宋_GB2312"/>
          <w:sz w:val="32"/>
          <w:szCs w:val="32"/>
        </w:rPr>
        <w:t>10月14日区政府印发《青岛市即墨区深化紧密型县域医疗卫生共同体建设实施方案》，完善配套支持政策和激励约束机制，在区</w:t>
      </w:r>
      <w:r>
        <w:rPr>
          <w:rFonts w:hint="eastAsia" w:ascii="仿宋_GB2312" w:hAnsi="仿宋_GB2312" w:eastAsia="仿宋_GB2312" w:cs="仿宋_GB2312"/>
          <w:sz w:val="32"/>
          <w:szCs w:val="32"/>
        </w:rPr>
        <w:t>人民医院-第三人民医院紧密型医共体基础上，按照“全面铺开、重点推进”的路径，推进区人民医院、区中医医院为</w:t>
      </w:r>
      <w:bookmarkStart w:id="0" w:name="_GoBack"/>
      <w:bookmarkEnd w:id="0"/>
      <w:r>
        <w:rPr>
          <w:rFonts w:hint="eastAsia" w:ascii="仿宋_GB2312" w:hAnsi="仿宋_GB2312" w:eastAsia="仿宋_GB2312" w:cs="仿宋_GB2312"/>
          <w:sz w:val="32"/>
          <w:szCs w:val="32"/>
        </w:rPr>
        <w:t>牵头医院的两大紧密型县域医共体建设。到2025年底，基本建成区人民医院、区中医医院牵头的两大紧密型医共体，全区基层诊疗量占比达到70%以上。</w:t>
      </w:r>
    </w:p>
    <w:p>
      <w:pPr>
        <w:spacing w:line="560" w:lineRule="exact"/>
        <w:ind w:firstLine="640" w:firstLineChars="200"/>
        <w:rPr>
          <w:rFonts w:ascii="仿宋_GB2312" w:eastAsia="仿宋_GB2312"/>
          <w:color w:val="000000"/>
          <w:sz w:val="32"/>
          <w:szCs w:val="32"/>
        </w:rPr>
      </w:pPr>
      <w:r>
        <w:rPr>
          <w:rFonts w:hint="eastAsia" w:ascii="仿宋_GB2312" w:hAnsi="仿宋_GB2312" w:eastAsia="仿宋_GB2312" w:cs="仿宋_GB2312"/>
          <w:sz w:val="32"/>
          <w:szCs w:val="32"/>
        </w:rPr>
        <w:t>二、</w:t>
      </w:r>
      <w:r>
        <w:rPr>
          <w:rFonts w:hint="eastAsia" w:ascii="仿宋_GB2312" w:eastAsia="仿宋_GB2312"/>
          <w:color w:val="000000"/>
          <w:sz w:val="32"/>
          <w:szCs w:val="32"/>
        </w:rPr>
        <w:t>加强医共体牵头医院与包联市级医疗机构山东大学齐鲁医院（青岛）合作，重点围绕外转至市域内占比较高病种进行精准技术帮扶，提升区级医院专科建设能力和危重症救治能力。落实医共体业务帮扶工作计划，牵头医院结合成员单位发展定位和业务需求，聚焦“人力、技术、服务、管理”提升，向基层医疗机构下沉下派人员开展诊疗服务，落实城乡对口支援和“千名医护下乡村”活动，通过专家派驻、专科共建、临床带教、远程协同、科研和项目协作等方式，健全以城带乡、以乡带村帮扶机制，推动优质医疗资源有效下沉，提升帮扶质效。</w:t>
      </w:r>
    </w:p>
    <w:p>
      <w:pPr>
        <w:spacing w:line="560" w:lineRule="exact"/>
        <w:ind w:firstLine="640" w:firstLineChars="200"/>
        <w:rPr>
          <w:rFonts w:ascii="仿宋_GB2312" w:hAnsi="仿宋_GB2312" w:eastAsia="仿宋_GB2312" w:cs="仿宋_GB2312"/>
          <w:sz w:val="32"/>
          <w:szCs w:val="32"/>
        </w:rPr>
      </w:pPr>
      <w:r>
        <w:rPr>
          <w:rFonts w:hint="eastAsia" w:ascii="仿宋_GB2312" w:eastAsia="仿宋_GB2312"/>
          <w:color w:val="000000"/>
          <w:sz w:val="32"/>
          <w:szCs w:val="32"/>
        </w:rPr>
        <w:t>三、规范医疗机构内部运行管理。</w:t>
      </w:r>
      <w:r>
        <w:rPr>
          <w:rFonts w:hint="eastAsia" w:ascii="仿宋_GB2312" w:hAnsi="仿宋_GB2312" w:eastAsia="仿宋_GB2312" w:cs="仿宋_GB2312"/>
          <w:sz w:val="32"/>
          <w:szCs w:val="32"/>
        </w:rPr>
        <w:t>建立健全全面预算管理和全成本核算制度，区人民医院和区中医医院全面开展医疗服务项目、病种、DRG成本核算；其他公立医疗机构全面开展科室、诊次、床日成本核算，并逐步开展医疗服务项目、病种、DRG成本核算，确保实现医疗收支平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四、在医疗卫生机构内部建立起以工作数量、质量、成效、医德医风、工作纪律、群众满意度等为重点的绩效考核制度，提高重点工作指标权重，充分体现多劳多得、优绩优酬。</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五、试行医保基金和基本公共卫生补助资金打包支付。医共体建设联合评估达到紧密型县域医共体建设标准后，经上级卫健部门和医保部门批准后试行医共体内医保基金打包支付和基本公共卫生补助资金打包支付。</w:t>
      </w:r>
    </w:p>
    <w:p>
      <w:pPr>
        <w:spacing w:line="560" w:lineRule="exact"/>
        <w:rPr>
          <w:rFonts w:ascii="仿宋_GB2312" w:hAnsi="仿宋_GB2312" w:eastAsia="仿宋_GB2312" w:cs="仿宋_GB2312"/>
          <w:b/>
          <w:spacing w:val="-6"/>
          <w:sz w:val="32"/>
          <w:szCs w:val="32"/>
        </w:rPr>
      </w:pPr>
    </w:p>
    <w:p>
      <w:pPr>
        <w:spacing w:line="560" w:lineRule="exact"/>
        <w:rPr>
          <w:rFonts w:ascii="仿宋_GB2312" w:hAnsi="仿宋_GB2312" w:eastAsia="仿宋_GB2312" w:cs="仿宋_GB2312"/>
          <w:b/>
          <w:spacing w:val="-6"/>
          <w:sz w:val="32"/>
          <w:szCs w:val="32"/>
        </w:rPr>
      </w:pP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（单位印章）</w:t>
      </w: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                                       2025年11月18日</w:t>
      </w: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签发领导：</w:t>
      </w:r>
    </w:p>
    <w:p>
      <w:pPr>
        <w:pStyle w:val="2"/>
        <w:spacing w:line="560" w:lineRule="exact"/>
        <w:rPr>
          <w:rFonts w:ascii="仿宋_GB2312" w:hAnsi="仿宋_GB2312" w:eastAsia="仿宋_GB2312" w:cs="仿宋_GB2312"/>
          <w:b/>
          <w:spacing w:val="-6"/>
          <w:szCs w:val="32"/>
        </w:rPr>
      </w:pPr>
      <w:r>
        <w:rPr>
          <w:rFonts w:hint="eastAsia" w:ascii="仿宋_GB2312" w:hAnsi="仿宋_GB2312" w:eastAsia="仿宋_GB2312" w:cs="仿宋_GB2312"/>
          <w:spacing w:val="-6"/>
          <w:szCs w:val="32"/>
        </w:rPr>
        <w:t>承办人及电话：王友旭，88516156</w:t>
      </w: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抄送：区政府政务督查室</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黑体">
    <w:panose1 w:val="02010609060101010101"/>
    <w:charset w:val="86"/>
    <w:family w:val="swiss"/>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Calibri Light">
    <w:panose1 w:val="020F0302020204030204"/>
    <w:charset w:val="00"/>
    <w:family w:val="modern"/>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黑体">
    <w:panose1 w:val="02010609060101010101"/>
    <w:charset w:val="86"/>
    <w:family w:val="decorative"/>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BkNmMwNDljN2FjZDNkNTEyMDYxZGJjNmU2NGZjNjEifQ=="/>
  </w:docVars>
  <w:rsids>
    <w:rsidRoot w:val="005E7AEF"/>
    <w:rsid w:val="001C7CA4"/>
    <w:rsid w:val="005E7AEF"/>
    <w:rsid w:val="006F6368"/>
    <w:rsid w:val="00AA45D1"/>
    <w:rsid w:val="00C650F0"/>
    <w:rsid w:val="02BC367C"/>
    <w:rsid w:val="09B503F5"/>
    <w:rsid w:val="29DB16F6"/>
    <w:rsid w:val="3B065BD3"/>
    <w:rsid w:val="48BA213A"/>
    <w:rsid w:val="69B3067A"/>
    <w:rsid w:val="6ABF4596"/>
    <w:rsid w:val="7EEC2630"/>
    <w:rsid w:val="7F932DCF"/>
    <w:rsid w:val="7FEDA1F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semiHidden/>
    <w:qFormat/>
    <w:uiPriority w:val="0"/>
    <w:rPr>
      <w:sz w:val="32"/>
      <w:szCs w:val="20"/>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0"/>
    <w:rPr>
      <w:rFonts w:ascii="Times New Roman" w:hAnsi="Times New Roman" w:eastAsia="宋体" w:cs="Times New Roman"/>
      <w:kern w:val="2"/>
      <w:sz w:val="18"/>
      <w:szCs w:val="18"/>
    </w:rPr>
  </w:style>
  <w:style w:type="character" w:customStyle="1" w:styleId="8">
    <w:name w:val="页脚 Char"/>
    <w:basedOn w:val="5"/>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Pages>
  <Words>144</Words>
  <Characters>824</Characters>
  <Lines>6</Lines>
  <Paragraphs>1</Paragraphs>
  <TotalTime>0</TotalTime>
  <ScaleCrop>false</ScaleCrop>
  <LinksUpToDate>false</LinksUpToDate>
  <CharactersWithSpaces>967</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2024-04-23T21:27:00Z</dcterms:created>
  <dc:creator>Administrator</dc:creator>
  <cp:lastModifiedBy>Administrator</cp:lastModifiedBy>
  <dcterms:modified xsi:type="dcterms:W3CDTF">2025-11-24T02:39:41Z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y fmtid="{D5CDD505-2E9C-101B-9397-08002B2CF9AE}" pid="3" name="ICV">
    <vt:lpwstr>4AC09286556B470F96A16BD68AD524A7_12</vt:lpwstr>
  </property>
  <property fmtid="{D5CDD505-2E9C-101B-9397-08002B2CF9AE}" pid="4" name="KSOTemplateDocerSaveRecord">
    <vt:lpwstr>eyJoZGlkIjoiMDlkNmEzMzQzOWQ1NzE3YjZlNmFkNWQzNTdjZDQ5NTciLCJ1c2VySWQiOiIxMTMyNDQ1Nzg3In0=</vt:lpwstr>
  </property>
</Properties>
</file>