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6F3C59">
      <w:pPr>
        <w:spacing w:before="146" w:line="224" w:lineRule="auto"/>
        <w:ind w:left="7384"/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/>
          <w:bCs/>
          <w:spacing w:val="-36"/>
          <w:w w:val="96"/>
          <w:sz w:val="28"/>
          <w:szCs w:val="28"/>
          <w:lang w:eastAsia="zh-CN"/>
        </w:rPr>
        <w:t>标记：A</w:t>
      </w:r>
    </w:p>
    <w:p w14:paraId="26A89897">
      <w:pPr>
        <w:spacing w:line="285" w:lineRule="auto"/>
        <w:rPr>
          <w:lang w:eastAsia="zh-CN"/>
        </w:rPr>
      </w:pPr>
    </w:p>
    <w:p w14:paraId="73348A21">
      <w:pPr>
        <w:spacing w:line="560" w:lineRule="exact"/>
        <w:jc w:val="center"/>
        <w:outlineLvl w:val="0"/>
        <w:rPr>
          <w:rFonts w:ascii="方正小标宋_GBK" w:hAnsi="宋体" w:eastAsia="方正小标宋_GBK" w:cs="宋体"/>
          <w:sz w:val="44"/>
          <w:szCs w:val="44"/>
          <w:lang w:eastAsia="zh-CN"/>
        </w:rPr>
      </w:pPr>
      <w:r>
        <w:rPr>
          <w:rFonts w:hint="eastAsia" w:ascii="方正小标宋_GBK" w:hAnsi="宋体" w:eastAsia="方正小标宋_GBK" w:cs="宋体"/>
          <w:bCs/>
          <w:spacing w:val="2"/>
          <w:sz w:val="44"/>
          <w:szCs w:val="44"/>
          <w:lang w:eastAsia="zh-CN"/>
        </w:rPr>
        <w:t>青岛市生态环境局即墨分局</w:t>
      </w:r>
    </w:p>
    <w:p w14:paraId="636A1FFA">
      <w:pPr>
        <w:spacing w:line="560" w:lineRule="exact"/>
        <w:jc w:val="center"/>
        <w:rPr>
          <w:rFonts w:ascii="方正小标宋_GBK" w:hAnsi="宋体" w:eastAsia="方正小标宋_GBK" w:cs="宋体"/>
          <w:sz w:val="44"/>
          <w:szCs w:val="44"/>
          <w:lang w:eastAsia="zh-CN"/>
        </w:rPr>
      </w:pPr>
      <w:r>
        <w:rPr>
          <w:rFonts w:hint="eastAsia" w:ascii="方正小标宋_GBK" w:hAnsi="宋体" w:eastAsia="方正小标宋_GBK" w:cs="宋体"/>
          <w:bCs/>
          <w:spacing w:val="14"/>
          <w:sz w:val="44"/>
          <w:szCs w:val="44"/>
          <w:lang w:eastAsia="zh-CN"/>
        </w:rPr>
        <w:t>关于对区政协十五届四次会议第0</w:t>
      </w:r>
      <w:r>
        <w:rPr>
          <w:rFonts w:hint="eastAsia" w:ascii="方正小标宋_GBK" w:hAnsi="宋体" w:eastAsia="方正小标宋_GBK" w:cs="宋体"/>
          <w:bCs/>
          <w:spacing w:val="14"/>
          <w:sz w:val="44"/>
          <w:szCs w:val="44"/>
          <w:lang w:val="en-US" w:eastAsia="zh-CN"/>
        </w:rPr>
        <w:t>14</w:t>
      </w:r>
      <w:r>
        <w:rPr>
          <w:rFonts w:hint="eastAsia" w:ascii="方正小标宋_GBK" w:hAnsi="宋体" w:eastAsia="方正小标宋_GBK" w:cs="宋体"/>
          <w:bCs/>
          <w:spacing w:val="14"/>
          <w:sz w:val="44"/>
          <w:szCs w:val="44"/>
          <w:lang w:eastAsia="zh-CN"/>
        </w:rPr>
        <w:t>号</w:t>
      </w:r>
    </w:p>
    <w:p w14:paraId="5663D858">
      <w:pPr>
        <w:spacing w:line="560" w:lineRule="exact"/>
        <w:jc w:val="center"/>
        <w:rPr>
          <w:rFonts w:ascii="方正小标宋_GBK" w:hAnsi="宋体" w:eastAsia="方正小标宋_GBK" w:cs="宋体"/>
          <w:sz w:val="44"/>
          <w:szCs w:val="44"/>
          <w:lang w:eastAsia="zh-CN"/>
        </w:rPr>
      </w:pPr>
      <w:r>
        <w:rPr>
          <w:rFonts w:hint="eastAsia" w:ascii="方正小标宋_GBK" w:hAnsi="宋体" w:eastAsia="方正小标宋_GBK" w:cs="宋体"/>
          <w:bCs/>
          <w:spacing w:val="-1"/>
          <w:sz w:val="44"/>
          <w:szCs w:val="44"/>
          <w:lang w:eastAsia="zh-CN"/>
        </w:rPr>
        <w:t>提案的答复</w:t>
      </w:r>
    </w:p>
    <w:p w14:paraId="022070A1">
      <w:pPr>
        <w:spacing w:line="357" w:lineRule="auto"/>
        <w:rPr>
          <w:lang w:eastAsia="zh-CN"/>
        </w:rPr>
      </w:pPr>
    </w:p>
    <w:p w14:paraId="235F0BE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eastAsia" w:ascii="仿宋_GB2312" w:hAnsi="仿宋" w:eastAsia="仿宋_GB2312" w:cs="仿宋"/>
          <w:spacing w:val="18"/>
          <w:sz w:val="32"/>
          <w:szCs w:val="32"/>
          <w:lang w:eastAsia="zh-CN"/>
        </w:rPr>
      </w:pPr>
      <w:r>
        <w:rPr>
          <w:rFonts w:hint="eastAsia" w:ascii="仿宋_GB2312" w:hAnsi="仿宋" w:eastAsia="仿宋_GB2312" w:cs="仿宋"/>
          <w:spacing w:val="18"/>
          <w:sz w:val="32"/>
          <w:szCs w:val="32"/>
          <w:lang w:eastAsia="zh-CN"/>
        </w:rPr>
        <w:t>于秀芹委员：</w:t>
      </w:r>
    </w:p>
    <w:p w14:paraId="6C0D4F9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ascii="仿宋_GB2312" w:eastAsia="仿宋_GB2312" w:hAnsiTheme="minorEastAsia" w:cstheme="minorEastAsia"/>
          <w:sz w:val="32"/>
          <w:szCs w:val="32"/>
          <w:lang w:eastAsia="zh-CN"/>
        </w:rPr>
      </w:pPr>
      <w:r>
        <w:rPr>
          <w:rFonts w:hint="eastAsia" w:ascii="仿宋_GB2312" w:eastAsia="仿宋_GB2312" w:hAnsiTheme="minorEastAsia" w:cstheme="minorEastAsia"/>
          <w:sz w:val="32"/>
          <w:szCs w:val="32"/>
          <w:lang w:eastAsia="zh-CN"/>
        </w:rPr>
        <w:t>您提出的“关于</w:t>
      </w:r>
      <w:r>
        <w:rPr>
          <w:rFonts w:hint="eastAsia" w:ascii="仿宋_GB2312" w:hAnsi="宋体" w:eastAsia="仿宋_GB2312" w:cs="宋体"/>
          <w:bCs/>
          <w:sz w:val="32"/>
          <w:szCs w:val="32"/>
        </w:rPr>
        <w:t>安全饮水提质增效，美丽乡村宜居宜业</w:t>
      </w:r>
      <w:r>
        <w:rPr>
          <w:rFonts w:hint="eastAsia" w:ascii="仿宋_GB2312" w:eastAsia="仿宋_GB2312" w:hAnsiTheme="minorEastAsia" w:cstheme="minorEastAsia"/>
          <w:sz w:val="32"/>
          <w:szCs w:val="32"/>
          <w:lang w:eastAsia="zh-CN"/>
        </w:rPr>
        <w:t>的提案”收悉。现答复如下：</w:t>
      </w:r>
    </w:p>
    <w:p w14:paraId="162014F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712" w:firstLineChars="200"/>
        <w:jc w:val="both"/>
        <w:textAlignment w:val="baseline"/>
        <w:rPr>
          <w:rFonts w:hint="eastAsia" w:ascii="仿宋_GB2312" w:hAnsi="仿宋" w:eastAsia="仿宋_GB2312" w:cs="仿宋"/>
          <w:spacing w:val="18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spacing w:val="18"/>
          <w:sz w:val="32"/>
          <w:szCs w:val="32"/>
          <w:lang w:eastAsia="zh-CN"/>
        </w:rPr>
        <w:t>为</w:t>
      </w:r>
      <w:r>
        <w:rPr>
          <w:rFonts w:hint="eastAsia" w:ascii="仿宋_GB2312" w:hAnsi="仿宋" w:eastAsia="仿宋_GB2312" w:cs="仿宋"/>
          <w:spacing w:val="18"/>
          <w:sz w:val="32"/>
          <w:szCs w:val="32"/>
          <w:lang w:val="en-US" w:eastAsia="zh-CN"/>
        </w:rPr>
        <w:t>进一步</w:t>
      </w:r>
      <w:r>
        <w:rPr>
          <w:rFonts w:hint="eastAsia" w:ascii="仿宋_GB2312" w:hAnsi="仿宋_GB2312" w:eastAsia="仿宋_GB2312" w:cs="仿宋_GB2312"/>
          <w:sz w:val="32"/>
          <w:szCs w:val="32"/>
        </w:rPr>
        <w:t>完善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我区</w:t>
      </w:r>
      <w:r>
        <w:rPr>
          <w:rFonts w:hint="eastAsia" w:ascii="仿宋_GB2312" w:hAnsi="仿宋_GB2312" w:eastAsia="仿宋_GB2312" w:cs="仿宋_GB2312"/>
          <w:sz w:val="32"/>
          <w:szCs w:val="32"/>
        </w:rPr>
        <w:t>水源地保护区规范化建设，防范环境风险，提升水源地应急能力，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结合我区实际，</w:t>
      </w:r>
      <w:r>
        <w:rPr>
          <w:rFonts w:hint="eastAsia" w:ascii="仿宋_GB2312" w:hAnsi="仿宋" w:eastAsia="仿宋_GB2312" w:cs="仿宋"/>
          <w:spacing w:val="18"/>
          <w:sz w:val="32"/>
          <w:szCs w:val="32"/>
          <w:lang w:val="en-US" w:eastAsia="zh-CN"/>
        </w:rPr>
        <w:t>我单位采取一系列有力举措，保障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我区</w:t>
      </w:r>
      <w:r>
        <w:rPr>
          <w:rFonts w:hint="eastAsia" w:ascii="仿宋_GB2312" w:hAnsi="仿宋_GB2312" w:eastAsia="仿宋_GB2312" w:cs="仿宋_GB2312"/>
          <w:sz w:val="32"/>
          <w:szCs w:val="32"/>
        </w:rPr>
        <w:t>饮用水源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安全。</w:t>
      </w:r>
    </w:p>
    <w:p w14:paraId="08E8825C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Fonts w:hint="default" w:ascii="黑体" w:hAnsi="黑体" w:eastAsia="黑体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楷体_GB2312"/>
          <w:b w:val="0"/>
          <w:bCs w:val="0"/>
          <w:sz w:val="32"/>
          <w:szCs w:val="32"/>
          <w:lang w:eastAsia="zh-CN"/>
        </w:rPr>
        <w:t>一、</w:t>
      </w:r>
      <w:bookmarkStart w:id="0" w:name="_Toc112086492"/>
      <w:bookmarkStart w:id="1" w:name="_Toc112255053"/>
      <w:bookmarkStart w:id="2" w:name="_Toc112254612"/>
      <w:r>
        <w:rPr>
          <w:rFonts w:hint="eastAsia" w:ascii="黑体" w:hAnsi="黑体" w:eastAsia="黑体" w:cs="楷体_GB2312"/>
          <w:b w:val="0"/>
          <w:bCs w:val="0"/>
          <w:sz w:val="32"/>
          <w:szCs w:val="32"/>
          <w:lang w:eastAsia="zh-CN"/>
        </w:rPr>
        <w:t>加强水源地保护，保障水质达标</w:t>
      </w:r>
    </w:p>
    <w:p w14:paraId="070BC504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firstLine="651" w:firstLineChars="200"/>
        <w:jc w:val="both"/>
        <w:textAlignment w:val="baseline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Style w:val="10"/>
          <w:rFonts w:hint="eastAsia" w:ascii="楷体_GB2312" w:hAnsi="楷体_GB2312" w:eastAsia="楷体_GB2312" w:cs="楷体_GB2312"/>
          <w:spacing w:val="2"/>
          <w:sz w:val="32"/>
          <w:szCs w:val="32"/>
          <w:shd w:val="clear" w:color="auto" w:fill="FFFFFF"/>
          <w:lang w:eastAsia="zh-CN"/>
        </w:rPr>
        <w:t>（</w:t>
      </w:r>
      <w:r>
        <w:rPr>
          <w:rStyle w:val="10"/>
          <w:rFonts w:hint="eastAsia" w:ascii="楷体_GB2312" w:hAnsi="楷体_GB2312" w:eastAsia="楷体_GB2312" w:cs="楷体_GB2312"/>
          <w:spacing w:val="2"/>
          <w:sz w:val="32"/>
          <w:szCs w:val="32"/>
          <w:shd w:val="clear" w:color="auto" w:fill="FFFFFF"/>
          <w:lang w:val="en-US" w:eastAsia="zh-CN"/>
        </w:rPr>
        <w:t>一</w:t>
      </w:r>
      <w:r>
        <w:rPr>
          <w:rStyle w:val="10"/>
          <w:rFonts w:hint="eastAsia" w:ascii="楷体_GB2312" w:hAnsi="楷体_GB2312" w:eastAsia="楷体_GB2312" w:cs="楷体_GB2312"/>
          <w:spacing w:val="2"/>
          <w:sz w:val="32"/>
          <w:szCs w:val="32"/>
          <w:shd w:val="clear" w:color="auto" w:fill="FFFFFF"/>
          <w:lang w:eastAsia="zh-CN"/>
        </w:rPr>
        <w:t>）</w:t>
      </w:r>
      <w:r>
        <w:rPr>
          <w:rStyle w:val="10"/>
          <w:rFonts w:hint="eastAsia" w:ascii="楷体_GB2312" w:hAnsi="楷体_GB2312" w:eastAsia="楷体_GB2312" w:cs="楷体_GB2312"/>
          <w:spacing w:val="2"/>
          <w:sz w:val="32"/>
          <w:szCs w:val="32"/>
          <w:shd w:val="clear" w:color="auto" w:fill="FFFFFF"/>
        </w:rPr>
        <w:t>完善水源地规范化建设</w:t>
      </w:r>
    </w:p>
    <w:p w14:paraId="633C69C4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1.加强水源地规范化建设，检查城镇级及以上水源地宣传牌、界标标志牌，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发现标识牌标识不清、损坏的及时更新。</w:t>
      </w:r>
    </w:p>
    <w:p w14:paraId="5CC4CDC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2.加强水质监测，每月对城镇级及以上水源地开展水质监测，提高水环境预警能力，发现水质超标等问题，督促相关单位开展排查整治。</w:t>
      </w:r>
    </w:p>
    <w:p w14:paraId="6C922BD1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firstLine="651" w:firstLineChars="200"/>
        <w:jc w:val="both"/>
        <w:textAlignment w:val="baseline"/>
        <w:rPr>
          <w:rFonts w:hint="eastAsia" w:ascii="楷体_GB2312" w:hAnsi="楷体_GB2312" w:eastAsia="楷体_GB2312" w:cs="楷体_GB2312"/>
          <w:b/>
          <w:sz w:val="32"/>
          <w:szCs w:val="32"/>
        </w:rPr>
      </w:pPr>
      <w:r>
        <w:rPr>
          <w:rStyle w:val="10"/>
          <w:rFonts w:hint="eastAsia" w:ascii="楷体_GB2312" w:hAnsi="楷体_GB2312" w:eastAsia="楷体_GB2312" w:cs="楷体_GB2312"/>
          <w:b/>
          <w:bCs/>
          <w:spacing w:val="2"/>
          <w:sz w:val="32"/>
          <w:szCs w:val="32"/>
          <w:shd w:val="clear" w:color="auto" w:fill="FFFFFF"/>
          <w:lang w:eastAsia="zh-CN"/>
        </w:rPr>
        <w:t>（</w:t>
      </w:r>
      <w:r>
        <w:rPr>
          <w:rStyle w:val="10"/>
          <w:rFonts w:hint="eastAsia" w:ascii="楷体_GB2312" w:hAnsi="楷体_GB2312" w:eastAsia="楷体_GB2312" w:cs="楷体_GB2312"/>
          <w:b/>
          <w:bCs/>
          <w:spacing w:val="2"/>
          <w:sz w:val="32"/>
          <w:szCs w:val="32"/>
          <w:shd w:val="clear" w:color="auto" w:fill="FFFFFF"/>
          <w:lang w:val="en-US" w:eastAsia="zh-CN"/>
        </w:rPr>
        <w:t>二</w:t>
      </w:r>
      <w:r>
        <w:rPr>
          <w:rStyle w:val="10"/>
          <w:rFonts w:hint="eastAsia" w:ascii="楷体_GB2312" w:hAnsi="楷体_GB2312" w:eastAsia="楷体_GB2312" w:cs="楷体_GB2312"/>
          <w:b/>
          <w:bCs/>
          <w:spacing w:val="2"/>
          <w:sz w:val="32"/>
          <w:szCs w:val="32"/>
          <w:shd w:val="clear" w:color="auto" w:fill="FFFFFF"/>
          <w:lang w:eastAsia="zh-CN"/>
        </w:rPr>
        <w:t>）</w:t>
      </w:r>
      <w:r>
        <w:rPr>
          <w:rStyle w:val="10"/>
          <w:rFonts w:hint="eastAsia" w:ascii="楷体_GB2312" w:hAnsi="楷体_GB2312" w:eastAsia="楷体_GB2312" w:cs="楷体_GB2312"/>
          <w:b/>
          <w:bCs/>
          <w:spacing w:val="2"/>
          <w:sz w:val="32"/>
          <w:szCs w:val="32"/>
          <w:shd w:val="clear" w:color="auto" w:fill="FFFFFF"/>
        </w:rPr>
        <w:t>加强污染风险隐患排查整治</w:t>
      </w:r>
    </w:p>
    <w:p w14:paraId="445E9B1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8" w:firstLineChars="200"/>
        <w:textAlignment w:val="baseline"/>
        <w:rPr>
          <w:rFonts w:ascii="仿宋_GB2312" w:hAnsi="仿宋_GB2312" w:eastAsia="仿宋_GB2312" w:cs="仿宋_GB2312"/>
          <w:spacing w:val="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  <w:shd w:val="clear" w:color="auto" w:fill="FFFFFF"/>
        </w:rPr>
        <w:t>联合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shd w:val="clear" w:color="auto" w:fill="FFFFFF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shd w:val="clear" w:color="auto" w:fill="FFFFFF"/>
        </w:rPr>
        <w:t>农业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shd w:val="clear" w:color="auto" w:fill="FFFFFF"/>
          <w:lang w:val="en-US" w:eastAsia="zh-CN"/>
        </w:rPr>
        <w:t>农村局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shd w:val="clear" w:color="auto" w:fill="FFFFFF"/>
        </w:rPr>
        <w:t>、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shd w:val="clear" w:color="auto" w:fill="FFFFFF"/>
          <w:lang w:val="en-US" w:eastAsia="zh-CN"/>
        </w:rPr>
        <w:t>区水利局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shd w:val="clear" w:color="auto" w:fill="FFFFFF"/>
        </w:rPr>
        <w:t>及相关镇街开展排查，发现水环境问题隐患督促责任镇街及时整改，减少汛期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shd w:val="clear" w:color="auto" w:fill="FFFFFF"/>
          <w:lang w:eastAsia="zh-CN"/>
        </w:rPr>
        <w:t>面源污染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shd w:val="clear" w:color="auto" w:fill="FFFFFF"/>
        </w:rPr>
        <w:t>。</w:t>
      </w:r>
    </w:p>
    <w:p w14:paraId="6DD3B62D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firstLine="651" w:firstLineChars="200"/>
        <w:jc w:val="both"/>
        <w:textAlignment w:val="baseline"/>
        <w:rPr>
          <w:rFonts w:hint="eastAsia" w:ascii="楷体_GB2312" w:hAnsi="楷体_GB2312" w:eastAsia="楷体_GB2312" w:cs="楷体_GB2312"/>
          <w:spacing w:val="2"/>
          <w:sz w:val="32"/>
          <w:szCs w:val="32"/>
        </w:rPr>
      </w:pPr>
      <w:r>
        <w:rPr>
          <w:rStyle w:val="10"/>
          <w:rFonts w:hint="eastAsia" w:ascii="楷体_GB2312" w:hAnsi="楷体_GB2312" w:eastAsia="楷体_GB2312" w:cs="楷体_GB2312"/>
          <w:spacing w:val="2"/>
          <w:sz w:val="32"/>
          <w:szCs w:val="32"/>
          <w:shd w:val="clear" w:color="auto" w:fill="FFFFFF"/>
          <w:lang w:eastAsia="zh-CN"/>
        </w:rPr>
        <w:t>（</w:t>
      </w:r>
      <w:r>
        <w:rPr>
          <w:rStyle w:val="10"/>
          <w:rFonts w:hint="eastAsia" w:ascii="楷体_GB2312" w:hAnsi="楷体_GB2312" w:eastAsia="楷体_GB2312" w:cs="楷体_GB2312"/>
          <w:spacing w:val="2"/>
          <w:sz w:val="32"/>
          <w:szCs w:val="32"/>
          <w:shd w:val="clear" w:color="auto" w:fill="FFFFFF"/>
          <w:lang w:val="en-US" w:eastAsia="zh-CN"/>
        </w:rPr>
        <w:t>三</w:t>
      </w:r>
      <w:r>
        <w:rPr>
          <w:rStyle w:val="10"/>
          <w:rFonts w:hint="eastAsia" w:ascii="楷体_GB2312" w:hAnsi="楷体_GB2312" w:eastAsia="楷体_GB2312" w:cs="楷体_GB2312"/>
          <w:spacing w:val="2"/>
          <w:sz w:val="32"/>
          <w:szCs w:val="32"/>
          <w:shd w:val="clear" w:color="auto" w:fill="FFFFFF"/>
          <w:lang w:eastAsia="zh-CN"/>
        </w:rPr>
        <w:t>）</w:t>
      </w:r>
      <w:r>
        <w:rPr>
          <w:rStyle w:val="10"/>
          <w:rFonts w:hint="eastAsia" w:ascii="楷体_GB2312" w:hAnsi="楷体_GB2312" w:eastAsia="楷体_GB2312" w:cs="楷体_GB2312"/>
          <w:spacing w:val="2"/>
          <w:sz w:val="32"/>
          <w:szCs w:val="32"/>
          <w:shd w:val="clear" w:color="auto" w:fill="FFFFFF"/>
        </w:rPr>
        <w:t>水源地应急能力提升</w:t>
      </w:r>
    </w:p>
    <w:p w14:paraId="7F96E325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8" w:firstLineChars="200"/>
        <w:textAlignment w:val="baseline"/>
        <w:rPr>
          <w:rFonts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  <w:shd w:val="clear" w:color="auto" w:fill="FFFFFF"/>
        </w:rPr>
        <w:t>组织多部门联合开展水源地突发环境事件应急演练，</w:t>
      </w:r>
      <w:r>
        <w:rPr>
          <w:rFonts w:hint="eastAsia" w:ascii="仿宋_GB2312" w:eastAsia="仿宋_GB2312"/>
          <w:sz w:val="32"/>
          <w:szCs w:val="32"/>
        </w:rPr>
        <w:t>提高应对集中式饮用水水源地突发环境事件的能力，最大程度地预防和减少突发事件及其造成的损害，确保饮用水水源安全</w:t>
      </w:r>
      <w:r>
        <w:rPr>
          <w:rFonts w:hint="eastAsia" w:ascii="仿宋_GB2312" w:hAnsi="宋体" w:eastAsia="仿宋_GB2312"/>
          <w:bCs/>
          <w:sz w:val="32"/>
          <w:szCs w:val="32"/>
        </w:rPr>
        <w:t>。</w:t>
      </w:r>
    </w:p>
    <w:p w14:paraId="6A3BF05C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firstLine="651" w:firstLineChars="200"/>
        <w:jc w:val="both"/>
        <w:textAlignment w:val="baseline"/>
        <w:rPr>
          <w:rFonts w:hint="eastAsia" w:ascii="楷体_GB2312" w:hAnsi="楷体_GB2312" w:eastAsia="楷体_GB2312" w:cs="楷体_GB2312"/>
          <w:b/>
          <w:sz w:val="32"/>
          <w:szCs w:val="32"/>
        </w:rPr>
      </w:pPr>
      <w:r>
        <w:rPr>
          <w:rStyle w:val="10"/>
          <w:rFonts w:hint="eastAsia" w:ascii="楷体_GB2312" w:hAnsi="楷体_GB2312" w:eastAsia="楷体_GB2312" w:cs="楷体_GB2312"/>
          <w:b/>
          <w:bCs/>
          <w:spacing w:val="2"/>
          <w:sz w:val="32"/>
          <w:szCs w:val="32"/>
          <w:shd w:val="clear" w:color="auto" w:fill="FFFFFF"/>
          <w:lang w:eastAsia="zh-CN"/>
        </w:rPr>
        <w:t>（</w:t>
      </w:r>
      <w:r>
        <w:rPr>
          <w:rStyle w:val="10"/>
          <w:rFonts w:hint="eastAsia" w:ascii="楷体_GB2312" w:hAnsi="楷体_GB2312" w:eastAsia="楷体_GB2312" w:cs="楷体_GB2312"/>
          <w:b/>
          <w:bCs/>
          <w:spacing w:val="2"/>
          <w:sz w:val="32"/>
          <w:szCs w:val="32"/>
          <w:shd w:val="clear" w:color="auto" w:fill="FFFFFF"/>
          <w:lang w:val="en-US" w:eastAsia="zh-CN"/>
        </w:rPr>
        <w:t>四</w:t>
      </w:r>
      <w:r>
        <w:rPr>
          <w:rStyle w:val="10"/>
          <w:rFonts w:hint="eastAsia" w:ascii="楷体_GB2312" w:hAnsi="楷体_GB2312" w:eastAsia="楷体_GB2312" w:cs="楷体_GB2312"/>
          <w:b/>
          <w:bCs/>
          <w:spacing w:val="2"/>
          <w:sz w:val="32"/>
          <w:szCs w:val="32"/>
          <w:shd w:val="clear" w:color="auto" w:fill="FFFFFF"/>
          <w:lang w:eastAsia="zh-CN"/>
        </w:rPr>
        <w:t>）</w:t>
      </w:r>
      <w:r>
        <w:rPr>
          <w:rStyle w:val="10"/>
          <w:rFonts w:hint="eastAsia" w:ascii="楷体_GB2312" w:hAnsi="楷体_GB2312" w:eastAsia="楷体_GB2312" w:cs="楷体_GB2312"/>
          <w:b/>
          <w:bCs/>
          <w:spacing w:val="2"/>
          <w:sz w:val="32"/>
          <w:szCs w:val="32"/>
          <w:shd w:val="clear" w:color="auto" w:fill="FFFFFF"/>
        </w:rPr>
        <w:t>智慧监管升级</w:t>
      </w:r>
    </w:p>
    <w:p w14:paraId="3273E0F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1.加强水源地智慧监管能力，根据市生态环境局要求，对城镇级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及以上</w:t>
      </w:r>
      <w:bookmarkStart w:id="3" w:name="_GoBack"/>
      <w:bookmarkEnd w:id="3"/>
      <w:r>
        <w:rPr>
          <w:rFonts w:hint="eastAsia" w:ascii="仿宋_GB2312" w:hAnsi="仿宋_GB2312" w:eastAsia="仿宋_GB2312" w:cs="仿宋_GB2312"/>
          <w:sz w:val="32"/>
          <w:szCs w:val="32"/>
        </w:rPr>
        <w:t>水源地系统动态更新。</w:t>
      </w:r>
    </w:p>
    <w:p w14:paraId="2EF6959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2.对照青岛市水源地管理系统，梳理疑似存在问题点位，进行全面检查。</w:t>
      </w:r>
    </w:p>
    <w:p w14:paraId="57321296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baseline"/>
        <w:rPr>
          <w:rFonts w:hint="eastAsia" w:ascii="黑体" w:hAnsi="黑体" w:eastAsia="黑体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楷体_GB2312"/>
          <w:b w:val="0"/>
          <w:bCs w:val="0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楷体_GB2312"/>
          <w:b w:val="0"/>
          <w:bCs w:val="0"/>
          <w:sz w:val="32"/>
          <w:szCs w:val="32"/>
          <w:lang w:eastAsia="zh-CN"/>
        </w:rPr>
        <w:t>加强宣传教育，提高环保意识</w:t>
      </w:r>
    </w:p>
    <w:p w14:paraId="4F9443A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textAlignment w:val="baseline"/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  <w:t>利用各种场所开展宣讲活动</w:t>
      </w:r>
    </w:p>
    <w:p w14:paraId="7531191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前往企业、社区、学校等场所开展宣讲活动，重点宣讲水环境保护的相关知识和法律法规，开展环境教育基地参观活动，不断扩大受众群体，在全社会形成良好的水环境保护氛围。</w:t>
      </w:r>
    </w:p>
    <w:p w14:paraId="25738C6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textAlignment w:val="baseline"/>
        <w:rPr>
          <w:rFonts w:hint="eastAsia" w:ascii="楷体_GB2312" w:hAnsi="楷体_GB2312" w:eastAsia="楷体_GB2312" w:cs="楷体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b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/>
          <w:sz w:val="32"/>
          <w:szCs w:val="32"/>
        </w:rPr>
        <w:t>在重要时间节点开展宣讲活动</w:t>
      </w:r>
    </w:p>
    <w:p w14:paraId="207F8DA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利用“世界水日”“六五环境日”等重要时间节点加大对水污染防治法的宣传教育，开展“六五环境日”系列宣传活动，向公众普及《中华人民共和国水污染防治法》《中华人民共和国水法》及相关知识，在新媒体平台宣传全区持续深入打好碧水保卫战相关报道。</w:t>
      </w:r>
    </w:p>
    <w:p w14:paraId="0A7BF1D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textAlignment w:val="baseline"/>
        <w:rPr>
          <w:rFonts w:ascii="仿宋_GB2312" w:eastAsia="仿宋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b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/>
          <w:sz w:val="32"/>
          <w:szCs w:val="32"/>
        </w:rPr>
        <w:t>利用新媒体平台加大宣传力度</w:t>
      </w:r>
    </w:p>
    <w:p w14:paraId="4FB87502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在“即墨环保”微博开设“护水科普课堂”，宣传水污染防治相关的百科知识和《中华人民共和国水污染防治法》《中华人民共和国水法》有关规定，开展系列宣传科普活动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 w14:paraId="7A623ED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textAlignment w:val="baseline"/>
        <w:rPr>
          <w:rFonts w:hint="eastAsia" w:ascii="楷体_GB2312" w:hAnsi="楷体_GB2312" w:eastAsia="楷体_GB2312" w:cs="楷体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sz w:val="32"/>
          <w:szCs w:val="32"/>
          <w:lang w:val="en-US" w:eastAsia="zh-CN"/>
        </w:rPr>
        <w:t>四</w:t>
      </w:r>
      <w:r>
        <w:rPr>
          <w:rFonts w:hint="eastAsia" w:ascii="楷体_GB2312" w:hAnsi="楷体_GB2312" w:eastAsia="楷体_GB2312" w:cs="楷体_GB2312"/>
          <w:b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/>
          <w:sz w:val="32"/>
          <w:szCs w:val="32"/>
        </w:rPr>
        <w:t>开展志愿服务活动</w:t>
      </w:r>
    </w:p>
    <w:p w14:paraId="40F0888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依托定期开展的志愿服务活动，到沿河企业、社区、学校等发放《致广大市民朋友的一封信》，向市民普及相关法律，并联合“小蓝帽”保河护海志愿服务队开展巡河护河清河行动，营造全社会共同关心支持墨水河保护工作的良好氛围。</w:t>
      </w:r>
    </w:p>
    <w:p w14:paraId="7E3A852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eastAsia="仿宋_GB2312"/>
          <w:sz w:val="32"/>
          <w:szCs w:val="32"/>
        </w:rPr>
      </w:pPr>
    </w:p>
    <w:p w14:paraId="7F190A5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_GB2312" w:eastAsia="仿宋_GB2312"/>
          <w:sz w:val="32"/>
          <w:szCs w:val="32"/>
        </w:rPr>
      </w:pPr>
    </w:p>
    <w:p w14:paraId="7985B83B">
      <w:pPr>
        <w:kinsoku/>
        <w:spacing w:line="560" w:lineRule="exact"/>
        <w:ind w:left="3780" w:firstLine="640"/>
        <w:rPr>
          <w:rFonts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青岛市生态环境局即墨分局</w:t>
      </w:r>
    </w:p>
    <w:p w14:paraId="35B261E9">
      <w:pPr>
        <w:kinsoku/>
        <w:spacing w:line="560" w:lineRule="exact"/>
        <w:ind w:left="4620" w:firstLine="640"/>
        <w:rPr>
          <w:rFonts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  <w:lang w:eastAsia="zh-CN"/>
        </w:rPr>
        <w:t>年3月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27</w:t>
      </w:r>
      <w:r>
        <w:rPr>
          <w:rFonts w:hint="eastAsia" w:ascii="仿宋_GB2312" w:eastAsia="仿宋_GB2312"/>
          <w:sz w:val="32"/>
          <w:szCs w:val="32"/>
          <w:lang w:eastAsia="zh-CN"/>
        </w:rPr>
        <w:t>日</w:t>
      </w:r>
      <w:bookmarkEnd w:id="0"/>
      <w:bookmarkEnd w:id="1"/>
      <w:bookmarkEnd w:id="2"/>
    </w:p>
    <w:p w14:paraId="393378DF">
      <w:pPr>
        <w:kinsoku/>
        <w:spacing w:line="560" w:lineRule="exact"/>
        <w:rPr>
          <w:rFonts w:hint="eastAsia" w:ascii="仿宋_GB2312" w:hAnsi="仿宋" w:eastAsia="仿宋_GB2312" w:cs="仿宋"/>
          <w:spacing w:val="18"/>
          <w:sz w:val="32"/>
          <w:szCs w:val="32"/>
          <w:lang w:eastAsia="zh-CN"/>
        </w:rPr>
      </w:pPr>
    </w:p>
    <w:p w14:paraId="17AC8B6C">
      <w:pPr>
        <w:kinsoku/>
        <w:spacing w:line="560" w:lineRule="exact"/>
        <w:rPr>
          <w:rFonts w:hint="eastAsia" w:ascii="仿宋_GB2312" w:hAnsi="仿宋" w:eastAsia="仿宋_GB2312" w:cs="仿宋"/>
          <w:spacing w:val="18"/>
          <w:sz w:val="32"/>
          <w:szCs w:val="32"/>
          <w:lang w:eastAsia="zh-CN"/>
        </w:rPr>
      </w:pPr>
      <w:r>
        <w:rPr>
          <w:rFonts w:hint="eastAsia" w:ascii="仿宋_GB2312" w:hAnsi="仿宋" w:eastAsia="仿宋_GB2312" w:cs="仿宋"/>
          <w:spacing w:val="18"/>
          <w:sz w:val="32"/>
          <w:szCs w:val="32"/>
          <w:lang w:eastAsia="zh-CN"/>
        </w:rPr>
        <w:t>签发领导：</w:t>
      </w:r>
    </w:p>
    <w:p w14:paraId="275127FB">
      <w:pPr>
        <w:kinsoku/>
        <w:spacing w:line="560" w:lineRule="exact"/>
        <w:jc w:val="right"/>
        <w:rPr>
          <w:rFonts w:hint="eastAsia" w:ascii="仿宋_GB2312" w:hAnsi="仿宋" w:eastAsia="仿宋_GB2312" w:cs="仿宋"/>
          <w:spacing w:val="18"/>
          <w:sz w:val="24"/>
          <w:szCs w:val="24"/>
          <w:lang w:eastAsia="zh-CN"/>
        </w:rPr>
      </w:pPr>
      <w:r>
        <w:rPr>
          <w:rFonts w:hint="eastAsia" w:ascii="仿宋_GB2312" w:hAnsi="仿宋" w:eastAsia="仿宋_GB2312" w:cs="仿宋"/>
          <w:spacing w:val="18"/>
          <w:sz w:val="24"/>
          <w:szCs w:val="24"/>
          <w:lang w:eastAsia="zh-CN"/>
        </w:rPr>
        <w:t>承办人及电话：泮雯雯 88513528</w:t>
      </w:r>
    </w:p>
    <w:sectPr>
      <w:pgSz w:w="11910" w:h="16840"/>
      <w:pgMar w:top="1440" w:right="1800" w:bottom="1440" w:left="1800" w:header="0" w:footer="1315" w:gutter="0"/>
      <w:cols w:space="0" w:num="1"/>
      <w:docGrid w:type="lines"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Noto Sans Mono CJK JP Bold">
    <w:altName w:val="hakuyoxingshu7000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hakuyoxingshu7000">
    <w:panose1 w:val="02000600000000000000"/>
    <w:charset w:val="86"/>
    <w:family w:val="auto"/>
    <w:pitch w:val="default"/>
    <w:sig w:usb0="FFFFFFFF" w:usb1="E9FFFFFF" w:usb2="0000003F" w:usb3="00000000" w:csb0="603F00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GQyZTM5OTc3NjU3YTBjNGQ2NmVmNzgyMzY5Yzc2ODYifQ=="/>
  </w:docVars>
  <w:rsids>
    <w:rsidRoot w:val="036A294A"/>
    <w:rsid w:val="00050E89"/>
    <w:rsid w:val="000D0A2A"/>
    <w:rsid w:val="00157C05"/>
    <w:rsid w:val="00243DE0"/>
    <w:rsid w:val="00311BB7"/>
    <w:rsid w:val="003D3D82"/>
    <w:rsid w:val="00566467"/>
    <w:rsid w:val="007068AA"/>
    <w:rsid w:val="00742AF3"/>
    <w:rsid w:val="00753ADD"/>
    <w:rsid w:val="007A7DEE"/>
    <w:rsid w:val="0086718B"/>
    <w:rsid w:val="00927618"/>
    <w:rsid w:val="00A8485F"/>
    <w:rsid w:val="00B23234"/>
    <w:rsid w:val="00B33BB1"/>
    <w:rsid w:val="00C724AE"/>
    <w:rsid w:val="00CF407C"/>
    <w:rsid w:val="00D20C86"/>
    <w:rsid w:val="00D51940"/>
    <w:rsid w:val="00D51FCC"/>
    <w:rsid w:val="00DD0055"/>
    <w:rsid w:val="00EA7A73"/>
    <w:rsid w:val="036A294A"/>
    <w:rsid w:val="107F665B"/>
    <w:rsid w:val="17966791"/>
    <w:rsid w:val="1F543D23"/>
    <w:rsid w:val="1FE50552"/>
    <w:rsid w:val="2A450AA1"/>
    <w:rsid w:val="2CB95DCC"/>
    <w:rsid w:val="32AE4350"/>
    <w:rsid w:val="33A20A06"/>
    <w:rsid w:val="34C032FF"/>
    <w:rsid w:val="3F68643A"/>
    <w:rsid w:val="5B6231FB"/>
    <w:rsid w:val="6D314644"/>
    <w:rsid w:val="72EC0C11"/>
    <w:rsid w:val="786D6B9A"/>
    <w:rsid w:val="7906652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4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3"/>
    </w:pPr>
    <w:rPr>
      <w:rFonts w:hint="eastAsia" w:ascii="宋体" w:hAnsi="宋体"/>
      <w:b/>
      <w:bCs/>
      <w:kern w:val="0"/>
      <w:sz w:val="2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semiHidden/>
    <w:qFormat/>
    <w:uiPriority w:val="0"/>
    <w:rPr>
      <w:rFonts w:ascii="仿宋" w:hAnsi="仿宋" w:eastAsia="仿宋" w:cs="仿宋"/>
      <w:sz w:val="30"/>
      <w:szCs w:val="30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toc 4"/>
    <w:basedOn w:val="1"/>
    <w:next w:val="1"/>
    <w:autoRedefine/>
    <w:qFormat/>
    <w:uiPriority w:val="0"/>
    <w:pPr>
      <w:ind w:left="630" w:firstLine="723"/>
    </w:pPr>
    <w:rPr>
      <w:rFonts w:eastAsia="Arial Unicode MS"/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0">
    <w:name w:val="Strong"/>
    <w:basedOn w:val="9"/>
    <w:qFormat/>
    <w:uiPriority w:val="0"/>
  </w:style>
  <w:style w:type="character" w:styleId="11">
    <w:name w:val="annotation reference"/>
    <w:autoRedefine/>
    <w:unhideWhenUsed/>
    <w:qFormat/>
    <w:uiPriority w:val="99"/>
    <w:rPr>
      <w:rFonts w:ascii="Tahoma" w:hAnsi="Tahoma"/>
      <w:sz w:val="21"/>
      <w:szCs w:val="21"/>
    </w:rPr>
  </w:style>
  <w:style w:type="character" w:customStyle="1" w:styleId="12">
    <w:name w:val="页眉 Char"/>
    <w:basedOn w:val="9"/>
    <w:link w:val="5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3">
    <w:name w:val="页脚 Char"/>
    <w:basedOn w:val="9"/>
    <w:link w:val="4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3</Pages>
  <Words>1098</Words>
  <Characters>1115</Characters>
  <Lines>1</Lines>
  <Paragraphs>3</Paragraphs>
  <TotalTime>10</TotalTime>
  <ScaleCrop>false</ScaleCrop>
  <LinksUpToDate>false</LinksUpToDate>
  <CharactersWithSpaces>1116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2024-03-26T01:07:00Z</dcterms:created>
  <dc:creator>纯欲女大学生</dc:creator>
  <cp:lastModifiedBy>纯欲女大学生</cp:lastModifiedBy>
  <cp:lastPrinted>2024-04-02T02:40:00Z</cp:lastPrinted>
  <dcterms:modified xsi:type="dcterms:W3CDTF">2025-04-01T08:18:51Z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8BB1FED44E3E4D9A9C462D824BE1BD65_11</vt:lpwstr>
  </property>
  <property fmtid="{D5CDD505-2E9C-101B-9397-08002B2CF9AE}" pid="4" name="KSOTemplateDocerSaveRecord">
    <vt:lpwstr>eyJoZGlkIjoiZGQyZTM5OTc3NjU3YTBjNGQ2NmVmNzgyMzY5Yzc2ODYiLCJ1c2VySWQiOiI1MDEyODQwMjIifQ==</vt:lpwstr>
  </property>
</Properties>
</file>