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2C" w:rsidRDefault="0019312C" w:rsidP="0019312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答复方式：</w:t>
      </w:r>
      <w:proofErr w:type="gramStart"/>
      <w:r>
        <w:rPr>
          <w:rFonts w:ascii="黑体" w:eastAsia="黑体" w:hAnsi="Times New Roman" w:cs="Times New Roman" w:hint="eastAsia"/>
          <w:sz w:val="28"/>
          <w:szCs w:val="24"/>
        </w:rPr>
        <w:t>面复</w:t>
      </w:r>
      <w:proofErr w:type="gramEnd"/>
      <w:r w:rsidRPr="00640A1D">
        <w:rPr>
          <w:rFonts w:ascii="黑体" w:eastAsia="黑体" w:hAnsi="Times New Roman" w:cs="Times New Roman" w:hint="eastAsia"/>
          <w:sz w:val="28"/>
          <w:szCs w:val="24"/>
        </w:rPr>
        <w:t xml:space="preserve">   </w:t>
      </w:r>
      <w:r>
        <w:rPr>
          <w:rFonts w:ascii="黑体" w:eastAsia="黑体" w:hAnsi="Times New Roman" w:cs="Times New Roman" w:hint="eastAsia"/>
          <w:sz w:val="28"/>
          <w:szCs w:val="24"/>
        </w:rPr>
        <w:t xml:space="preserve">                         </w:t>
      </w:r>
      <w:r w:rsidRPr="00640A1D">
        <w:rPr>
          <w:rFonts w:ascii="黑体" w:eastAsia="黑体" w:hAnsi="Times New Roman" w:cs="Times New Roman" w:hint="eastAsia"/>
          <w:sz w:val="28"/>
          <w:szCs w:val="24"/>
        </w:rPr>
        <w:t xml:space="preserve">          标记：</w:t>
      </w:r>
      <w:r w:rsidRPr="00640A1D">
        <w:rPr>
          <w:rFonts w:ascii="黑体" w:eastAsia="黑体" w:hAnsi="Times New Roman" w:cs="Times New Roman" w:hint="eastAsia"/>
          <w:spacing w:val="-4"/>
          <w:sz w:val="28"/>
          <w:szCs w:val="24"/>
        </w:rPr>
        <w:t>A</w:t>
      </w:r>
    </w:p>
    <w:p w:rsidR="0019312C" w:rsidRDefault="0019312C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</w:p>
    <w:p w:rsidR="00A43ECB" w:rsidRDefault="0019312C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A43ECB" w:rsidRDefault="0019312C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关于对区政协十五届届第三次会议第149号</w:t>
      </w:r>
    </w:p>
    <w:p w:rsidR="00A43ECB" w:rsidRDefault="0019312C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提 案 的 答 复</w:t>
      </w:r>
    </w:p>
    <w:p w:rsidR="00A43ECB" w:rsidRDefault="00A43ECB"/>
    <w:p w:rsidR="00A43ECB" w:rsidRDefault="00A43ECB">
      <w:pPr>
        <w:rPr>
          <w:spacing w:val="-6"/>
        </w:rPr>
      </w:pPr>
    </w:p>
    <w:p w:rsidR="00A43ECB" w:rsidRDefault="0019312C" w:rsidP="00C90E21"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徐鹏飞委员：</w:t>
      </w:r>
    </w:p>
    <w:p w:rsidR="00A43ECB" w:rsidRDefault="0019312C" w:rsidP="00C90E21"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您提出的“关于完善老旧小区与城中村停车建设，提升停车品质的</w:t>
      </w:r>
      <w:r w:rsidR="00C93BD0">
        <w:rPr>
          <w:rFonts w:ascii="仿宋_GB2312" w:eastAsia="仿宋_GB2312" w:hint="eastAsia"/>
          <w:spacing w:val="-6"/>
          <w:sz w:val="32"/>
          <w:szCs w:val="32"/>
        </w:rPr>
        <w:t>提案</w:t>
      </w:r>
      <w:bookmarkStart w:id="0" w:name="_GoBack"/>
      <w:bookmarkEnd w:id="0"/>
      <w:r>
        <w:rPr>
          <w:rFonts w:ascii="仿宋_GB2312" w:eastAsia="仿宋_GB2312" w:hint="eastAsia"/>
          <w:spacing w:val="-6"/>
          <w:sz w:val="32"/>
          <w:szCs w:val="32"/>
        </w:rPr>
        <w:t>”收悉。现答复如下：</w:t>
      </w:r>
    </w:p>
    <w:p w:rsidR="00A43ECB" w:rsidRDefault="0019312C" w:rsidP="00C90E21">
      <w:pPr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自2021年我区全面推进城镇老旧小区改造工作以来，全区已完成72个小区、1248栋楼、348.96万平方米改造，惠及3.846万户居民。自2009年起，我区陆续启动实施坊子街、古城、商贸城、和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青岛蓝谷等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区域的旧村改造。老旧小区改造涉及小区车位完善项目，新建城中村按照高品质进行规划设计车位，均不同程度的解决了停车难问题，提升了居民居住品质。针对代表提出的“关于完善老旧小区与城中村停车建设，提升停车品质的建议 ”，结合本年度老旧小区改造和城中村改造工作主要采取以下工作措施：</w:t>
      </w:r>
    </w:p>
    <w:p w:rsidR="00A43ECB" w:rsidRDefault="0019312C" w:rsidP="00C90E21">
      <w:pPr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 xml:space="preserve">一、依托老旧小区改造工作，进行车位完善提升。 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</w:p>
    <w:p w:rsidR="00A43ECB" w:rsidRDefault="0019312C" w:rsidP="00C90E21">
      <w:pPr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2024年我区计划实施17个老旧小区改造项目，涉及196栋楼、建筑面积60.6万平方米，惠及居民5977户。</w:t>
      </w:r>
    </w:p>
    <w:p w:rsidR="00A43ECB" w:rsidRDefault="0019312C" w:rsidP="00032E78">
      <w:pPr>
        <w:spacing w:line="540" w:lineRule="exact"/>
        <w:ind w:firstLineChars="200" w:firstLine="618"/>
        <w:rPr>
          <w:rFonts w:ascii="仿宋_GB2312" w:eastAsia="仿宋_GB2312"/>
          <w:spacing w:val="-6"/>
          <w:sz w:val="32"/>
          <w:szCs w:val="32"/>
        </w:rPr>
      </w:pPr>
      <w:r w:rsidRPr="00032E78">
        <w:rPr>
          <w:rFonts w:ascii="仿宋_GB2312" w:eastAsia="仿宋_GB2312" w:hint="eastAsia"/>
          <w:b/>
          <w:spacing w:val="-6"/>
          <w:sz w:val="32"/>
          <w:szCs w:val="32"/>
        </w:rPr>
        <w:t>一是</w:t>
      </w:r>
      <w:r>
        <w:rPr>
          <w:rFonts w:ascii="仿宋_GB2312" w:eastAsia="仿宋_GB2312" w:hint="eastAsia"/>
          <w:spacing w:val="-6"/>
          <w:sz w:val="32"/>
          <w:szCs w:val="32"/>
        </w:rPr>
        <w:t>居委会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组织业委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会、物业公司按照《物权法》相关规定，履行民主表决程序决定小区减绿地改车位事宜。设计单位将根据表决结果，结合绿地面积等进行综合考虑，对小区车位进行完善提升。1.对现有车位铺装破损、沉陷、标识缺失的，</w:t>
      </w:r>
      <w:r>
        <w:rPr>
          <w:rFonts w:ascii="仿宋_GB2312" w:eastAsia="仿宋_GB2312" w:hint="eastAsia"/>
          <w:spacing w:val="-6"/>
          <w:sz w:val="32"/>
          <w:szCs w:val="32"/>
        </w:rPr>
        <w:lastRenderedPageBreak/>
        <w:t>予以修补，重新施化标线；2.老旧小区可利用楼宇、边角余地、行道树空等空余位置合理增设车位；3.合理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布置非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机动车车辆停放点，合理让渡停车空间。</w:t>
      </w:r>
    </w:p>
    <w:p w:rsidR="00A43ECB" w:rsidRDefault="0019312C" w:rsidP="003D7E6F">
      <w:pPr>
        <w:spacing w:line="540" w:lineRule="exact"/>
        <w:ind w:firstLineChars="200" w:firstLine="618"/>
        <w:rPr>
          <w:rFonts w:ascii="仿宋_GB2312" w:eastAsia="仿宋_GB2312"/>
          <w:spacing w:val="-6"/>
          <w:sz w:val="32"/>
          <w:szCs w:val="32"/>
        </w:rPr>
      </w:pPr>
      <w:r w:rsidRPr="003D7E6F">
        <w:rPr>
          <w:rFonts w:ascii="仿宋_GB2312" w:eastAsia="仿宋_GB2312" w:hint="eastAsia"/>
          <w:b/>
          <w:spacing w:val="-6"/>
          <w:sz w:val="32"/>
          <w:szCs w:val="32"/>
        </w:rPr>
        <w:t>二是</w:t>
      </w:r>
      <w:r>
        <w:rPr>
          <w:rFonts w:ascii="仿宋_GB2312" w:eastAsia="仿宋_GB2312" w:hint="eastAsia"/>
          <w:spacing w:val="-6"/>
          <w:sz w:val="32"/>
          <w:szCs w:val="32"/>
        </w:rPr>
        <w:t>同步完善小区道闸系统，对具备安装条件的小区增加视频监控、人脸识别、车闸、门卫室等设备，规范小区外来车辆管理，保障小区内居民停车需求。</w:t>
      </w:r>
    </w:p>
    <w:p w:rsidR="00A43ECB" w:rsidRDefault="0019312C" w:rsidP="00C90E21">
      <w:pPr>
        <w:numPr>
          <w:ilvl w:val="0"/>
          <w:numId w:val="1"/>
        </w:numPr>
        <w:spacing w:line="540" w:lineRule="exact"/>
        <w:ind w:firstLineChars="200"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 xml:space="preserve">依托城中村改造，高品质规划设计停车位。 </w:t>
      </w:r>
    </w:p>
    <w:p w:rsidR="00A43ECB" w:rsidRDefault="0019312C" w:rsidP="00C90E21"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通过我区近几年不断加大城中村改造工作力度和步伐，进一步优化整合了城市资源，城市功能更加完善，在我区已改造城中村区域均配建了地下停车场，已基本解决停车难问题，下步将继续加大工作力度,</w:t>
      </w:r>
      <w:r w:rsidRPr="005227AF">
        <w:rPr>
          <w:rFonts w:ascii="仿宋_GB2312" w:eastAsia="仿宋_GB2312" w:hint="eastAsia"/>
          <w:b/>
          <w:spacing w:val="-6"/>
          <w:sz w:val="32"/>
          <w:szCs w:val="32"/>
        </w:rPr>
        <w:t>一是</w:t>
      </w:r>
      <w:r>
        <w:rPr>
          <w:rFonts w:ascii="仿宋_GB2312" w:eastAsia="仿宋_GB2312" w:hint="eastAsia"/>
          <w:spacing w:val="-6"/>
          <w:sz w:val="32"/>
          <w:szCs w:val="32"/>
        </w:rPr>
        <w:t>进行高标准规划地下停车位，城中村改造是一个综合规划的过程，包括道路改善、建筑更新、公共设施建设等。在规划过程中会充分考虑地下停车位的需求，并合理规划其位置和数量。</w:t>
      </w:r>
      <w:r w:rsidRPr="005227AF">
        <w:rPr>
          <w:rFonts w:ascii="仿宋_GB2312" w:eastAsia="仿宋_GB2312" w:hint="eastAsia"/>
          <w:b/>
          <w:spacing w:val="-6"/>
          <w:sz w:val="32"/>
          <w:szCs w:val="32"/>
        </w:rPr>
        <w:t>二是</w:t>
      </w:r>
      <w:r>
        <w:rPr>
          <w:rFonts w:ascii="仿宋_GB2312" w:eastAsia="仿宋_GB2312" w:hint="eastAsia"/>
          <w:spacing w:val="-6"/>
          <w:sz w:val="32"/>
          <w:szCs w:val="32"/>
        </w:rPr>
        <w:t>强化管理措施，地下停车位的建设应该伴随着相应的管理措施。建立物业公司对停车位管理机制，确保停车位的有效利用和秩序。同时，加强对停车位的标识和导向系统的建设，方便车主找到车位。</w:t>
      </w:r>
    </w:p>
    <w:p w:rsidR="00A43ECB" w:rsidRDefault="0019312C" w:rsidP="00C90E21">
      <w:pPr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总之，对城中村进行改造，并高标准规划地下停车位是解决停车难问题的有效途径。通过政策支持、合作开发、强化管理措施和宣传教育，可以提高城中村停车位供应的质量和数量，改善停车环境。</w:t>
      </w:r>
    </w:p>
    <w:p w:rsidR="00A43ECB" w:rsidRDefault="0019312C" w:rsidP="00C90E21"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  2024年</w:t>
      </w:r>
      <w:r w:rsidR="00C90E21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C90E21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A43ECB" w:rsidRDefault="0019312C" w:rsidP="00C90E21"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A43ECB" w:rsidRDefault="0019312C" w:rsidP="00C90E21">
      <w:pPr>
        <w:pStyle w:val="a3"/>
        <w:spacing w:line="540" w:lineRule="exact"/>
        <w:jc w:val="right"/>
        <w:rPr>
          <w:rFonts w:ascii="仿宋_GB2312" w:eastAsia="仿宋_GB2312"/>
          <w:spacing w:val="-6"/>
          <w:szCs w:val="32"/>
        </w:rPr>
      </w:pPr>
      <w:r>
        <w:rPr>
          <w:rFonts w:ascii="仿宋_GB2312" w:eastAsia="仿宋_GB2312" w:hint="eastAsia"/>
          <w:spacing w:val="-6"/>
          <w:szCs w:val="32"/>
        </w:rPr>
        <w:t>承办人及电话：陈冰 88517689</w:t>
      </w:r>
    </w:p>
    <w:p w:rsidR="00A43ECB" w:rsidRDefault="0019312C" w:rsidP="00C90E21"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抄送：区政府督查室、区政协提案与委员活动工作办公室</w:t>
      </w:r>
    </w:p>
    <w:sectPr w:rsidR="00A4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07" w:rsidRDefault="009A2807" w:rsidP="00C90E21">
      <w:r>
        <w:separator/>
      </w:r>
    </w:p>
  </w:endnote>
  <w:endnote w:type="continuationSeparator" w:id="0">
    <w:p w:rsidR="009A2807" w:rsidRDefault="009A2807" w:rsidP="00C9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07" w:rsidRDefault="009A2807" w:rsidP="00C90E21">
      <w:r>
        <w:separator/>
      </w:r>
    </w:p>
  </w:footnote>
  <w:footnote w:type="continuationSeparator" w:id="0">
    <w:p w:rsidR="009A2807" w:rsidRDefault="009A2807" w:rsidP="00C9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79EC"/>
    <w:multiLevelType w:val="singleLevel"/>
    <w:tmpl w:val="5BC979E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YxNDcxODYwMzlhNjhmZTdjYjdiMGIwZmZmZTgifQ=="/>
  </w:docVars>
  <w:rsids>
    <w:rsidRoot w:val="00A43ECB"/>
    <w:rsid w:val="00032E78"/>
    <w:rsid w:val="0019312C"/>
    <w:rsid w:val="003D7E6F"/>
    <w:rsid w:val="005227AF"/>
    <w:rsid w:val="009A2807"/>
    <w:rsid w:val="00A43ECB"/>
    <w:rsid w:val="00C90E21"/>
    <w:rsid w:val="00C93BD0"/>
    <w:rsid w:val="00DF7F94"/>
    <w:rsid w:val="04D2168D"/>
    <w:rsid w:val="160A236A"/>
    <w:rsid w:val="1DF71C98"/>
    <w:rsid w:val="2C8A2A63"/>
    <w:rsid w:val="2EBD72A0"/>
    <w:rsid w:val="37146EB6"/>
    <w:rsid w:val="44505086"/>
    <w:rsid w:val="516372B7"/>
    <w:rsid w:val="57D90C74"/>
    <w:rsid w:val="70C27C53"/>
    <w:rsid w:val="79C5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rPr>
      <w:sz w:val="32"/>
      <w:szCs w:val="20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autoRedefine/>
    <w:qFormat/>
    <w:rPr>
      <w:color w:val="800080"/>
      <w:u w:val="none"/>
    </w:rPr>
  </w:style>
  <w:style w:type="character" w:styleId="a6">
    <w:name w:val="Hyperlink"/>
    <w:basedOn w:val="a0"/>
    <w:autoRedefine/>
    <w:qFormat/>
    <w:rPr>
      <w:color w:val="0000FF"/>
      <w:u w:val="none"/>
    </w:rPr>
  </w:style>
  <w:style w:type="paragraph" w:customStyle="1" w:styleId="BodyText">
    <w:name w:val="BodyText"/>
    <w:basedOn w:val="a"/>
    <w:autoRedefine/>
    <w:qFormat/>
    <w:pPr>
      <w:spacing w:after="120"/>
      <w:textAlignment w:val="baseline"/>
    </w:pPr>
    <w:rPr>
      <w:rFonts w:ascii="Times New Roman" w:eastAsia="仿宋_GB2312" w:hAnsi="Times New Roman"/>
      <w:sz w:val="32"/>
      <w:szCs w:val="20"/>
    </w:rPr>
  </w:style>
  <w:style w:type="character" w:customStyle="1" w:styleId="nth-child1">
    <w:name w:val="nth-child(1)"/>
    <w:basedOn w:val="a0"/>
  </w:style>
  <w:style w:type="character" w:customStyle="1" w:styleId="notclasssuffix">
    <w:name w:val="not([class*=suffix])"/>
    <w:basedOn w:val="a0"/>
    <w:autoRedefine/>
    <w:qFormat/>
  </w:style>
  <w:style w:type="character" w:customStyle="1" w:styleId="notclasssuffix1">
    <w:name w:val="not([class*=suffix])1"/>
    <w:basedOn w:val="a0"/>
    <w:autoRedefine/>
    <w:qFormat/>
    <w:rPr>
      <w:sz w:val="19"/>
      <w:szCs w:val="19"/>
    </w:rPr>
  </w:style>
  <w:style w:type="paragraph" w:styleId="a7">
    <w:name w:val="header"/>
    <w:basedOn w:val="a"/>
    <w:link w:val="Char"/>
    <w:rsid w:val="00C90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90E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C90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90E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  <w:rPr>
      <w:sz w:val="32"/>
      <w:szCs w:val="20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autoRedefine/>
    <w:qFormat/>
    <w:rPr>
      <w:color w:val="800080"/>
      <w:u w:val="none"/>
    </w:rPr>
  </w:style>
  <w:style w:type="character" w:styleId="a6">
    <w:name w:val="Hyperlink"/>
    <w:basedOn w:val="a0"/>
    <w:autoRedefine/>
    <w:qFormat/>
    <w:rPr>
      <w:color w:val="0000FF"/>
      <w:u w:val="none"/>
    </w:rPr>
  </w:style>
  <w:style w:type="paragraph" w:customStyle="1" w:styleId="BodyText">
    <w:name w:val="BodyText"/>
    <w:basedOn w:val="a"/>
    <w:autoRedefine/>
    <w:qFormat/>
    <w:pPr>
      <w:spacing w:after="120"/>
      <w:textAlignment w:val="baseline"/>
    </w:pPr>
    <w:rPr>
      <w:rFonts w:ascii="Times New Roman" w:eastAsia="仿宋_GB2312" w:hAnsi="Times New Roman"/>
      <w:sz w:val="32"/>
      <w:szCs w:val="20"/>
    </w:rPr>
  </w:style>
  <w:style w:type="character" w:customStyle="1" w:styleId="nth-child1">
    <w:name w:val="nth-child(1)"/>
    <w:basedOn w:val="a0"/>
  </w:style>
  <w:style w:type="character" w:customStyle="1" w:styleId="notclasssuffix">
    <w:name w:val="not([class*=suffix])"/>
    <w:basedOn w:val="a0"/>
    <w:autoRedefine/>
    <w:qFormat/>
  </w:style>
  <w:style w:type="character" w:customStyle="1" w:styleId="notclasssuffix1">
    <w:name w:val="not([class*=suffix])1"/>
    <w:basedOn w:val="a0"/>
    <w:autoRedefine/>
    <w:qFormat/>
    <w:rPr>
      <w:sz w:val="19"/>
      <w:szCs w:val="19"/>
    </w:rPr>
  </w:style>
  <w:style w:type="paragraph" w:styleId="a7">
    <w:name w:val="header"/>
    <w:basedOn w:val="a"/>
    <w:link w:val="Char"/>
    <w:rsid w:val="00C90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90E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C90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90E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17</cp:revision>
  <dcterms:created xsi:type="dcterms:W3CDTF">2024-01-12T07:12:00Z</dcterms:created>
  <dcterms:modified xsi:type="dcterms:W3CDTF">2024-04-08T02:45:00Z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254B573B72344D0F82A53A50EF004AA7_13</vt:lpwstr>
  </property>
</Properties>
</file>