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6" w:line="224" w:lineRule="auto"/>
        <w:ind w:left="7384"/>
        <w:rPr>
          <w:rFonts w:ascii="宋体" w:hAnsi="宋体" w:eastAsia="宋体" w:cs="宋体"/>
          <w:sz w:val="30"/>
          <w:szCs w:val="30"/>
        </w:rPr>
      </w:pPr>
      <w:r>
        <w:rPr>
          <w:rFonts w:ascii="黑体" w:hAnsi="黑体" w:eastAsia="黑体" w:cs="黑体"/>
          <w:b/>
          <w:bCs/>
          <w:spacing w:val="-36"/>
          <w:w w:val="96"/>
          <w:sz w:val="30"/>
          <w:szCs w:val="30"/>
        </w:rPr>
        <w:t>标记：</w:t>
      </w:r>
      <w:r>
        <w:rPr>
          <w:rFonts w:ascii="黑体" w:hAnsi="黑体" w:eastAsia="黑体" w:cs="黑体"/>
          <w:spacing w:val="-78"/>
          <w:sz w:val="30"/>
          <w:szCs w:val="30"/>
        </w:rPr>
        <w:t xml:space="preserve"> </w:t>
      </w:r>
      <w:r>
        <w:rPr>
          <w:rFonts w:ascii="宋体" w:hAnsi="宋体" w:eastAsia="宋体" w:cs="宋体"/>
          <w:b/>
          <w:bCs/>
          <w:spacing w:val="-36"/>
          <w:w w:val="96"/>
          <w:sz w:val="30"/>
          <w:szCs w:val="30"/>
        </w:rPr>
        <w:t>A</w:t>
      </w: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140" w:line="219" w:lineRule="auto"/>
        <w:ind w:left="1576"/>
        <w:outlineLvl w:val="0"/>
        <w:rPr>
          <w:rFonts w:ascii="宋体" w:hAnsi="宋体" w:eastAsia="宋体" w:cs="宋体"/>
          <w:sz w:val="43"/>
          <w:szCs w:val="43"/>
        </w:rPr>
      </w:pPr>
      <w:r>
        <w:rPr>
          <w:rFonts w:ascii="宋体" w:hAnsi="宋体" w:eastAsia="宋体" w:cs="宋体"/>
          <w:b/>
          <w:bCs/>
          <w:spacing w:val="2"/>
          <w:sz w:val="43"/>
          <w:szCs w:val="43"/>
        </w:rPr>
        <w:t>青岛市生态环境局即墨分局</w:t>
      </w:r>
    </w:p>
    <w:p>
      <w:pPr>
        <w:spacing w:before="269" w:line="219" w:lineRule="auto"/>
        <w:ind w:left="476"/>
        <w:rPr>
          <w:rFonts w:ascii="宋体" w:hAnsi="宋体" w:eastAsia="宋体" w:cs="宋体"/>
          <w:sz w:val="43"/>
          <w:szCs w:val="43"/>
        </w:rPr>
      </w:pPr>
      <w:r>
        <w:rPr>
          <w:rFonts w:ascii="宋体" w:hAnsi="宋体" w:eastAsia="宋体" w:cs="宋体"/>
          <w:b/>
          <w:bCs/>
          <w:spacing w:val="14"/>
          <w:sz w:val="43"/>
          <w:szCs w:val="43"/>
        </w:rPr>
        <w:t>关于对区政协十</w:t>
      </w:r>
      <w:r>
        <w:rPr>
          <w:rFonts w:hint="eastAsia" w:ascii="宋体" w:hAnsi="宋体" w:eastAsia="宋体" w:cs="宋体"/>
          <w:b/>
          <w:bCs/>
          <w:spacing w:val="14"/>
          <w:sz w:val="43"/>
          <w:szCs w:val="43"/>
          <w:lang w:eastAsia="zh-CN"/>
        </w:rPr>
        <w:t>六</w:t>
      </w:r>
      <w:r>
        <w:rPr>
          <w:rFonts w:ascii="宋体" w:hAnsi="宋体" w:eastAsia="宋体" w:cs="宋体"/>
          <w:b/>
          <w:bCs/>
          <w:spacing w:val="14"/>
          <w:sz w:val="43"/>
          <w:szCs w:val="43"/>
        </w:rPr>
        <w:t>届二次会议第0</w:t>
      </w:r>
      <w:r>
        <w:rPr>
          <w:rFonts w:hint="eastAsia" w:ascii="宋体" w:hAnsi="宋体" w:eastAsia="宋体" w:cs="宋体"/>
          <w:b/>
          <w:bCs/>
          <w:spacing w:val="14"/>
          <w:sz w:val="43"/>
          <w:szCs w:val="43"/>
          <w:lang w:val="en-US" w:eastAsia="zh-CN"/>
        </w:rPr>
        <w:t>75</w:t>
      </w:r>
      <w:r>
        <w:rPr>
          <w:rFonts w:ascii="宋体" w:hAnsi="宋体" w:eastAsia="宋体" w:cs="宋体"/>
          <w:b/>
          <w:bCs/>
          <w:spacing w:val="14"/>
          <w:sz w:val="43"/>
          <w:szCs w:val="43"/>
        </w:rPr>
        <w:t>号</w:t>
      </w:r>
    </w:p>
    <w:p>
      <w:pPr>
        <w:spacing w:before="243" w:line="220" w:lineRule="auto"/>
        <w:ind w:left="3116"/>
        <w:rPr>
          <w:rFonts w:ascii="宋体" w:hAnsi="宋体" w:eastAsia="宋体" w:cs="宋体"/>
          <w:sz w:val="43"/>
          <w:szCs w:val="43"/>
        </w:rPr>
      </w:pPr>
      <w:r>
        <w:rPr>
          <w:rFonts w:ascii="宋体" w:hAnsi="宋体" w:eastAsia="宋体" w:cs="宋体"/>
          <w:b/>
          <w:bCs/>
          <w:spacing w:val="-1"/>
          <w:sz w:val="43"/>
          <w:szCs w:val="43"/>
        </w:rPr>
        <w:t>提案的答复</w:t>
      </w:r>
    </w:p>
    <w:p>
      <w:pPr>
        <w:spacing w:line="357" w:lineRule="auto"/>
        <w:rPr>
          <w:rFonts w:ascii="Arial"/>
          <w:sz w:val="21"/>
        </w:rPr>
      </w:pPr>
    </w:p>
    <w:p>
      <w:pPr>
        <w:spacing w:line="357" w:lineRule="auto"/>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98" w:line="560" w:lineRule="exact"/>
        <w:textAlignment w:val="baseline"/>
        <w:rPr>
          <w:rFonts w:hint="eastAsia" w:ascii="仿宋_GB2312" w:eastAsia="仿宋_GB2312" w:hAnsiTheme="minorEastAsia" w:cstheme="minorEastAsia"/>
          <w:snapToGrid w:val="0"/>
          <w:color w:val="000000"/>
          <w:kern w:val="0"/>
          <w:sz w:val="32"/>
          <w:szCs w:val="32"/>
          <w:lang w:val="en-US" w:eastAsia="en-US" w:bidi="ar-SA"/>
        </w:rPr>
      </w:pPr>
      <w:r>
        <w:rPr>
          <w:rFonts w:hint="eastAsia" w:ascii="仿宋_GB2312" w:eastAsia="仿宋_GB2312" w:hAnsiTheme="minorEastAsia" w:cstheme="minorEastAsia"/>
          <w:snapToGrid w:val="0"/>
          <w:color w:val="000000"/>
          <w:kern w:val="0"/>
          <w:sz w:val="32"/>
          <w:szCs w:val="32"/>
          <w:lang w:val="en-US" w:eastAsia="zh-CN" w:bidi="ar-SA"/>
        </w:rPr>
        <w:t>徐壮举</w:t>
      </w:r>
      <w:r>
        <w:rPr>
          <w:rFonts w:hint="eastAsia" w:ascii="仿宋_GB2312" w:eastAsia="仿宋_GB2312" w:hAnsiTheme="minorEastAsia" w:cstheme="minorEastAsia"/>
          <w:snapToGrid w:val="0"/>
          <w:color w:val="000000"/>
          <w:kern w:val="0"/>
          <w:sz w:val="32"/>
          <w:szCs w:val="32"/>
          <w:lang w:val="en-US" w:eastAsia="en-US" w:bidi="ar-SA"/>
        </w:rPr>
        <w:t>委员：</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pacing w:val="18"/>
          <w:sz w:val="32"/>
          <w:szCs w:val="32"/>
          <w:lang w:eastAsia="zh-CN"/>
        </w:rPr>
      </w:pPr>
      <w:r>
        <w:rPr>
          <w:rFonts w:hint="eastAsia" w:eastAsia="宋体"/>
          <w:lang w:val="en-US" w:eastAsia="zh-CN"/>
        </w:rPr>
        <w:t xml:space="preserve">       </w:t>
      </w:r>
      <w:r>
        <w:rPr>
          <w:rFonts w:hint="eastAsia" w:ascii="仿宋_GB2312" w:eastAsia="仿宋_GB2312" w:hAnsiTheme="minorEastAsia" w:cstheme="minorEastAsia"/>
          <w:sz w:val="32"/>
          <w:szCs w:val="32"/>
          <w:lang w:val="en-US" w:eastAsia="zh-CN"/>
        </w:rPr>
        <w:t xml:space="preserve"> 您提出的</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sz w:val="32"/>
          <w:szCs w:val="32"/>
          <w:lang w:eastAsia="zh-CN"/>
        </w:rPr>
        <w:t>关于打造即墨无废城市的提案</w:t>
      </w:r>
      <w:r>
        <w:rPr>
          <w:rFonts w:hint="eastAsia" w:ascii="仿宋_GB2312" w:eastAsia="仿宋_GB2312" w:hAnsiTheme="minorEastAsia" w:cstheme="minorEastAsia"/>
          <w:sz w:val="32"/>
          <w:szCs w:val="32"/>
        </w:rPr>
        <w:t>”收悉</w:t>
      </w:r>
      <w:r>
        <w:rPr>
          <w:rFonts w:hint="eastAsia" w:ascii="仿宋_GB2312" w:eastAsia="仿宋_GB2312" w:hAnsiTheme="minorEastAsia" w:cstheme="minorEastAsia"/>
          <w:sz w:val="32"/>
          <w:szCs w:val="32"/>
          <w:lang w:eastAsia="zh-CN"/>
        </w:rPr>
        <w:t>。现答复如下：</w:t>
      </w:r>
    </w:p>
    <w:p>
      <w:pPr>
        <w:spacing w:line="560" w:lineRule="exact"/>
        <w:ind w:firstLine="640" w:firstLineChars="200"/>
        <w:jc w:val="left"/>
        <w:textAlignment w:val="baseline"/>
        <w:outlineLvl w:val="1"/>
        <w:rPr>
          <w:rFonts w:ascii="黑体" w:hAnsi="黑体" w:eastAsia="黑体" w:cs="楷体_GB2312"/>
          <w:sz w:val="32"/>
          <w:szCs w:val="32"/>
        </w:rPr>
      </w:pPr>
      <w:bookmarkStart w:id="0" w:name="_Toc112086486"/>
      <w:bookmarkStart w:id="1" w:name="_Toc112255047"/>
      <w:bookmarkStart w:id="2" w:name="_Toc112086492"/>
      <w:bookmarkStart w:id="3" w:name="_Toc112254612"/>
      <w:bookmarkStart w:id="4" w:name="_Toc112255053"/>
      <w:r>
        <w:rPr>
          <w:rFonts w:hint="eastAsia" w:ascii="黑体" w:hAnsi="黑体" w:eastAsia="黑体" w:cs="楷体_GB2312"/>
          <w:sz w:val="32"/>
          <w:szCs w:val="32"/>
        </w:rPr>
        <w:t>一、加强体系建设，提升系统保障能力</w:t>
      </w:r>
    </w:p>
    <w:p>
      <w:pPr>
        <w:spacing w:line="560" w:lineRule="exact"/>
        <w:ind w:firstLine="640" w:firstLineChars="200"/>
        <w:textAlignment w:val="baseline"/>
        <w:outlineLvl w:val="2"/>
        <w:rPr>
          <w:rStyle w:val="6"/>
          <w:rFonts w:ascii="楷体_GB2312" w:hAnsi="楷体_GB2312" w:eastAsia="楷体_GB2312" w:cs="楷体_GB2312"/>
          <w:bCs/>
          <w:sz w:val="32"/>
          <w:szCs w:val="32"/>
        </w:rPr>
      </w:pPr>
      <w:bookmarkStart w:id="5" w:name="_Toc112255081"/>
      <w:bookmarkStart w:id="6" w:name="_Toc112086520"/>
      <w:bookmarkStart w:id="7" w:name="_Toc112254640"/>
      <w:r>
        <w:rPr>
          <w:rStyle w:val="6"/>
          <w:rFonts w:hint="eastAsia" w:ascii="楷体_GB2312" w:hAnsi="楷体_GB2312" w:eastAsia="楷体_GB2312" w:cs="楷体_GB2312"/>
          <w:bCs/>
          <w:sz w:val="32"/>
          <w:szCs w:val="32"/>
        </w:rPr>
        <w:t>（一）建立健全制度体系</w:t>
      </w:r>
      <w:bookmarkEnd w:id="5"/>
      <w:bookmarkEnd w:id="6"/>
      <w:bookmarkEnd w:id="7"/>
    </w:p>
    <w:p>
      <w:pPr>
        <w:spacing w:line="560" w:lineRule="exact"/>
        <w:ind w:firstLine="640" w:firstLineChars="200"/>
        <w:textAlignment w:val="baseline"/>
        <w:outlineLvl w:val="2"/>
        <w:rPr>
          <w:rFonts w:ascii="仿宋_GB2312" w:eastAsia="仿宋_GB2312" w:hAnsiTheme="minorEastAsia" w:cstheme="minorEastAsia"/>
          <w:sz w:val="32"/>
          <w:szCs w:val="32"/>
        </w:rPr>
      </w:pPr>
      <w:r>
        <w:rPr>
          <w:rFonts w:hint="eastAsia" w:ascii="仿宋_GB2312" w:eastAsia="仿宋_GB2312"/>
          <w:sz w:val="32"/>
          <w:szCs w:val="32"/>
        </w:rPr>
        <w:t>推动固体废物制度建设，</w:t>
      </w:r>
      <w:r>
        <w:rPr>
          <w:rFonts w:hint="eastAsia" w:ascii="仿宋_GB2312" w:eastAsia="仿宋_GB2312" w:hAnsiTheme="minorEastAsia" w:cstheme="minorEastAsia"/>
          <w:sz w:val="32"/>
          <w:szCs w:val="32"/>
        </w:rPr>
        <w:t>组织开展调研座谈，梳理法律法规等相关文件，研究建立部门固体废物</w:t>
      </w:r>
      <w:r>
        <w:rPr>
          <w:rFonts w:ascii="仿宋_GB2312" w:eastAsia="仿宋_GB2312" w:hAnsiTheme="minorEastAsia" w:cstheme="minorEastAsia"/>
          <w:sz w:val="32"/>
          <w:szCs w:val="32"/>
        </w:rPr>
        <w:t>管理</w:t>
      </w:r>
      <w:r>
        <w:rPr>
          <w:rFonts w:hint="eastAsia" w:ascii="仿宋_GB2312" w:eastAsia="仿宋_GB2312" w:hAnsiTheme="minorEastAsia" w:cstheme="minorEastAsia"/>
          <w:sz w:val="32"/>
          <w:szCs w:val="32"/>
        </w:rPr>
        <w:t>责任清单。动态更新危险废物重点风险监管单位清单。</w:t>
      </w:r>
    </w:p>
    <w:p>
      <w:pPr>
        <w:spacing w:line="560" w:lineRule="exact"/>
        <w:ind w:firstLine="640" w:firstLineChars="200"/>
        <w:jc w:val="left"/>
        <w:textAlignment w:val="baseline"/>
        <w:outlineLvl w:val="2"/>
        <w:rPr>
          <w:rStyle w:val="6"/>
          <w:rFonts w:ascii="楷体_GB2312" w:hAnsi="楷体_GB2312" w:eastAsia="楷体_GB2312" w:cs="楷体_GB2312"/>
          <w:bCs/>
          <w:sz w:val="32"/>
          <w:szCs w:val="32"/>
        </w:rPr>
      </w:pPr>
      <w:bookmarkStart w:id="8" w:name="_Toc112254641"/>
      <w:bookmarkStart w:id="9" w:name="_Toc112255082"/>
      <w:bookmarkStart w:id="10" w:name="_Toc112086521"/>
      <w:r>
        <w:rPr>
          <w:rStyle w:val="6"/>
          <w:rFonts w:hint="eastAsia" w:ascii="楷体_GB2312" w:hAnsi="楷体_GB2312" w:eastAsia="楷体_GB2312" w:cs="楷体_GB2312"/>
          <w:bCs/>
          <w:sz w:val="32"/>
          <w:szCs w:val="32"/>
        </w:rPr>
        <w:t>（二）建立健全技术体系</w:t>
      </w:r>
      <w:bookmarkEnd w:id="8"/>
      <w:bookmarkEnd w:id="9"/>
      <w:bookmarkEnd w:id="10"/>
    </w:p>
    <w:p>
      <w:pPr>
        <w:pStyle w:val="3"/>
        <w:spacing w:line="560" w:lineRule="exact"/>
        <w:ind w:left="0"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配合市生态环境局积极创建环保工程技术中心、生态环境科技成果转移转化基地等科技平台。根据《山东省“十四五”工业固体废物污染环境防治工作（危险废物集中处置设施、场所建设）规划》相关要求，有序推进实施工业固体废物污染环境防治重点项目。</w:t>
      </w:r>
    </w:p>
    <w:p>
      <w:pPr>
        <w:spacing w:line="560" w:lineRule="exact"/>
        <w:ind w:firstLine="640" w:firstLineChars="200"/>
        <w:jc w:val="left"/>
        <w:textAlignment w:val="baseline"/>
        <w:outlineLvl w:val="2"/>
        <w:rPr>
          <w:rStyle w:val="6"/>
          <w:rFonts w:ascii="楷体_GB2312" w:hAnsi="楷体_GB2312" w:eastAsia="楷体_GB2312" w:cs="楷体_GB2312"/>
          <w:bCs/>
          <w:sz w:val="32"/>
          <w:szCs w:val="32"/>
        </w:rPr>
      </w:pPr>
      <w:bookmarkStart w:id="11" w:name="_Toc112254642"/>
      <w:bookmarkStart w:id="12" w:name="_Toc112255083"/>
      <w:bookmarkStart w:id="13" w:name="_Toc112086522"/>
      <w:r>
        <w:rPr>
          <w:rStyle w:val="6"/>
          <w:rFonts w:hint="eastAsia" w:ascii="楷体_GB2312" w:hAnsi="楷体_GB2312" w:eastAsia="楷体_GB2312" w:cs="楷体_GB2312"/>
          <w:bCs/>
          <w:sz w:val="32"/>
          <w:szCs w:val="32"/>
        </w:rPr>
        <w:t>（三）建立健全市场体系</w:t>
      </w:r>
      <w:bookmarkEnd w:id="11"/>
      <w:bookmarkEnd w:id="12"/>
      <w:bookmarkEnd w:id="13"/>
    </w:p>
    <w:p>
      <w:pPr>
        <w:pStyle w:val="3"/>
        <w:spacing w:line="560" w:lineRule="exact"/>
        <w:ind w:left="0" w:firstLine="640" w:firstLineChars="200"/>
        <w:jc w:val="both"/>
        <w:rPr>
          <w:rFonts w:ascii="仿宋_GB2312" w:eastAsia="仿宋_GB2312" w:hAnsiTheme="minorEastAsia" w:cstheme="minorEastAsia"/>
          <w:sz w:val="32"/>
          <w:szCs w:val="32"/>
        </w:rPr>
      </w:pPr>
      <w:r>
        <w:rPr>
          <w:rStyle w:val="6"/>
          <w:rFonts w:hint="eastAsia" w:ascii="仿宋_GB2312" w:hAnsi="仿宋_GB2312" w:eastAsia="仿宋_GB2312"/>
          <w:bCs/>
          <w:sz w:val="32"/>
          <w:szCs w:val="32"/>
        </w:rPr>
        <w:t>积极</w:t>
      </w:r>
      <w:r>
        <w:rPr>
          <w:rFonts w:hint="eastAsia" w:ascii="仿宋_GB2312" w:eastAsia="仿宋_GB2312" w:hAnsiTheme="minorEastAsia" w:cstheme="minorEastAsia"/>
          <w:bCs/>
          <w:sz w:val="32"/>
          <w:szCs w:val="32"/>
        </w:rPr>
        <w:t>配合相关部门</w:t>
      </w:r>
      <w:r>
        <w:rPr>
          <w:rStyle w:val="6"/>
          <w:rFonts w:hint="eastAsia" w:eastAsia="仿宋_GB2312" w:cs="仿宋_GB2312"/>
          <w:sz w:val="32"/>
          <w:szCs w:val="32"/>
        </w:rPr>
        <w:t>完善医疗废物处置收费机制。</w:t>
      </w:r>
      <w:r>
        <w:rPr>
          <w:rFonts w:hint="eastAsia" w:ascii="仿宋_GB2312" w:eastAsia="仿宋_GB2312" w:hAnsiTheme="minorEastAsia" w:cstheme="minorEastAsia"/>
          <w:sz w:val="32"/>
          <w:szCs w:val="32"/>
        </w:rPr>
        <w:t>鼓励推动第三方治理企业开展专业化固体废物污染治理，提升固体废物处理处置设施运行水平和污染治理效果。</w:t>
      </w:r>
    </w:p>
    <w:p>
      <w:pPr>
        <w:spacing w:line="560" w:lineRule="exact"/>
        <w:ind w:firstLine="640" w:firstLineChars="200"/>
        <w:jc w:val="left"/>
        <w:textAlignment w:val="baseline"/>
        <w:outlineLvl w:val="2"/>
        <w:rPr>
          <w:rStyle w:val="6"/>
          <w:rFonts w:ascii="楷体_GB2312" w:hAnsi="楷体_GB2312" w:eastAsia="楷体_GB2312" w:cs="楷体_GB2312"/>
          <w:bCs/>
          <w:sz w:val="32"/>
          <w:szCs w:val="32"/>
        </w:rPr>
      </w:pPr>
      <w:bookmarkStart w:id="14" w:name="_Toc9359"/>
      <w:bookmarkStart w:id="15" w:name="_Toc112254643"/>
      <w:bookmarkStart w:id="16" w:name="_Toc112086523"/>
      <w:bookmarkStart w:id="17" w:name="_Toc112255084"/>
      <w:bookmarkStart w:id="18" w:name="_Toc5566"/>
      <w:r>
        <w:rPr>
          <w:rStyle w:val="6"/>
          <w:rFonts w:hint="eastAsia" w:ascii="楷体_GB2312" w:hAnsi="楷体_GB2312" w:eastAsia="楷体_GB2312" w:cs="楷体_GB2312"/>
          <w:bCs/>
          <w:sz w:val="32"/>
          <w:szCs w:val="32"/>
        </w:rPr>
        <w:t>（四）建立健全监管体系</w:t>
      </w:r>
      <w:bookmarkEnd w:id="14"/>
      <w:bookmarkEnd w:id="15"/>
      <w:bookmarkEnd w:id="16"/>
      <w:bookmarkEnd w:id="17"/>
      <w:bookmarkEnd w:id="18"/>
    </w:p>
    <w:p>
      <w:pPr>
        <w:pStyle w:val="3"/>
        <w:spacing w:line="560" w:lineRule="exact"/>
        <w:ind w:left="0" w:firstLine="640" w:firstLineChars="200"/>
        <w:jc w:val="both"/>
      </w:pPr>
      <w:r>
        <w:rPr>
          <w:rFonts w:hint="eastAsia" w:ascii="仿宋_GB2312" w:eastAsia="仿宋_GB2312" w:hAnsiTheme="minorEastAsia" w:cstheme="minorEastAsia"/>
          <w:sz w:val="32"/>
          <w:szCs w:val="32"/>
        </w:rPr>
        <w:t>用好“无废城市”智慧监管平台，提升“无废城市”信息化监管水平。推进企业环境信用评价，依法依规开展信用惩戒。开展生态</w:t>
      </w:r>
      <w:r>
        <w:rPr>
          <w:rFonts w:ascii="仿宋_GB2312" w:eastAsia="仿宋_GB2312" w:hAnsiTheme="minorEastAsia" w:cstheme="minorEastAsia"/>
          <w:sz w:val="32"/>
          <w:szCs w:val="32"/>
        </w:rPr>
        <w:t>环境损害赔偿</w:t>
      </w:r>
      <w:r>
        <w:rPr>
          <w:rFonts w:hint="eastAsia" w:ascii="仿宋_GB2312" w:eastAsia="仿宋_GB2312" w:hAnsiTheme="minorEastAsia" w:cstheme="minorEastAsia"/>
          <w:sz w:val="32"/>
          <w:szCs w:val="32"/>
        </w:rPr>
        <w:t>案件线索筛查办理，确保应赔尽赔。</w:t>
      </w:r>
    </w:p>
    <w:p>
      <w:pPr>
        <w:pStyle w:val="2"/>
        <w:spacing w:after="0" w:line="560" w:lineRule="exact"/>
        <w:ind w:firstLine="640" w:firstLineChars="200"/>
        <w:rPr>
          <w:rStyle w:val="6"/>
          <w:rFonts w:ascii="楷体_GB2312" w:hAnsi="楷体_GB2312" w:eastAsia="楷体_GB2312" w:cs="楷体_GB2312"/>
          <w:bCs/>
          <w:sz w:val="32"/>
          <w:szCs w:val="32"/>
        </w:rPr>
      </w:pPr>
      <w:r>
        <w:rPr>
          <w:rStyle w:val="6"/>
          <w:rFonts w:hint="eastAsia" w:ascii="楷体_GB2312" w:hAnsi="楷体_GB2312" w:eastAsia="楷体_GB2312" w:cs="楷体_GB2312"/>
          <w:bCs/>
          <w:sz w:val="32"/>
          <w:szCs w:val="32"/>
        </w:rPr>
        <w:t>（五）持续加强绿色体系建设</w:t>
      </w:r>
    </w:p>
    <w:p>
      <w:pPr>
        <w:spacing w:line="560" w:lineRule="exact"/>
        <w:ind w:firstLine="616" w:firstLineChars="200"/>
        <w:jc w:val="left"/>
        <w:textAlignment w:val="baseline"/>
        <w:outlineLvl w:val="1"/>
        <w:rPr>
          <w:rFonts w:ascii="黑体" w:hAnsi="黑体" w:eastAsia="黑体" w:cs="楷体_GB2312"/>
          <w:sz w:val="32"/>
          <w:szCs w:val="32"/>
        </w:rPr>
      </w:pPr>
      <w:r>
        <w:rPr>
          <w:rFonts w:hint="eastAsia" w:ascii="仿宋_GB2312" w:hAnsi="方正小标宋_GBK" w:eastAsia="仿宋_GB2312" w:cs="方正小标宋_GBK"/>
          <w:spacing w:val="-6"/>
          <w:sz w:val="32"/>
          <w:szCs w:val="32"/>
        </w:rPr>
        <w:t>一季度至二季度，持续加强绿色体系建设。</w:t>
      </w:r>
      <w:r>
        <w:rPr>
          <w:rFonts w:hint="eastAsia" w:ascii="仿宋_GB2312" w:hAnsi="宋体" w:eastAsia="仿宋_GB2312" w:cs="宋体"/>
          <w:kern w:val="0"/>
          <w:sz w:val="32"/>
          <w:szCs w:val="32"/>
        </w:rPr>
        <w:t>完善</w:t>
      </w:r>
      <w:r>
        <w:rPr>
          <w:rFonts w:hint="eastAsia" w:ascii="仿宋_GB2312" w:hAnsi="微软雅黑" w:eastAsia="仿宋_GB2312" w:cs="仿宋_GB2312"/>
          <w:kern w:val="36"/>
          <w:sz w:val="32"/>
          <w:szCs w:val="32"/>
        </w:rPr>
        <w:t>绿色制造体系，组织推进绿色工厂梯度培育</w:t>
      </w:r>
      <w:r>
        <w:rPr>
          <w:rFonts w:hint="eastAsia" w:ascii="仿宋_GB2312" w:hAnsi="黑体" w:eastAsia="仿宋_GB2312"/>
          <w:sz w:val="32"/>
          <w:szCs w:val="32"/>
        </w:rPr>
        <w:t>。</w:t>
      </w:r>
    </w:p>
    <w:p>
      <w:pPr>
        <w:spacing w:line="560" w:lineRule="exact"/>
        <w:ind w:firstLine="640" w:firstLineChars="200"/>
        <w:jc w:val="left"/>
        <w:textAlignment w:val="baseline"/>
        <w:outlineLvl w:val="1"/>
        <w:rPr>
          <w:rFonts w:ascii="黑体" w:hAnsi="黑体" w:eastAsia="黑体" w:cs="楷体_GB2312"/>
          <w:sz w:val="32"/>
          <w:szCs w:val="32"/>
        </w:rPr>
      </w:pPr>
      <w:r>
        <w:rPr>
          <w:rFonts w:hint="eastAsia" w:ascii="黑体" w:hAnsi="黑体" w:eastAsia="黑体" w:cs="楷体_GB2312"/>
          <w:sz w:val="32"/>
          <w:szCs w:val="32"/>
        </w:rPr>
        <w:t>二、坚持减污降碳协同增效，推动绿色低碳高质量发展</w:t>
      </w:r>
      <w:bookmarkEnd w:id="0"/>
      <w:bookmarkEnd w:id="1"/>
    </w:p>
    <w:p>
      <w:pPr>
        <w:spacing w:line="560" w:lineRule="exact"/>
        <w:ind w:firstLine="640" w:firstLineChars="200"/>
        <w:jc w:val="left"/>
        <w:textAlignment w:val="baseline"/>
        <w:outlineLvl w:val="2"/>
        <w:rPr>
          <w:rFonts w:ascii="楷体_GB2312" w:hAnsi="楷体_GB2312" w:eastAsia="楷体_GB2312" w:cs="楷体_GB2312"/>
          <w:bCs/>
          <w:sz w:val="32"/>
          <w:szCs w:val="32"/>
        </w:rPr>
      </w:pPr>
      <w:bookmarkStart w:id="19" w:name="_Toc112255048"/>
      <w:bookmarkStart w:id="20" w:name="_Toc112086487"/>
      <w:bookmarkStart w:id="21" w:name="_Toc112254607"/>
      <w:r>
        <w:rPr>
          <w:rStyle w:val="6"/>
          <w:rFonts w:hint="eastAsia" w:ascii="楷体_GB2312" w:hAnsi="楷体_GB2312" w:eastAsia="楷体_GB2312" w:cs="楷体_GB2312"/>
          <w:bCs/>
          <w:sz w:val="32"/>
          <w:szCs w:val="32"/>
        </w:rPr>
        <w:t>（一）推进绿色生产生活方式转变</w:t>
      </w:r>
      <w:bookmarkEnd w:id="19"/>
      <w:bookmarkEnd w:id="20"/>
      <w:bookmarkEnd w:id="21"/>
    </w:p>
    <w:p>
      <w:pPr>
        <w:pStyle w:val="2"/>
        <w:spacing w:after="0" w:line="560" w:lineRule="exact"/>
        <w:ind w:firstLine="600" w:firstLineChars="200"/>
        <w:rPr>
          <w:rFonts w:ascii="仿宋_GB2312" w:eastAsia="仿宋_GB2312" w:hAnsiTheme="minorEastAsia" w:cstheme="minorEastAsia"/>
          <w:szCs w:val="32"/>
        </w:rPr>
      </w:pPr>
      <w:r>
        <w:rPr>
          <w:rFonts w:hint="eastAsia" w:ascii="仿宋_GB2312" w:eastAsia="仿宋_GB2312" w:hAnsiTheme="minorEastAsia" w:cstheme="minorEastAsia"/>
          <w:bCs/>
          <w:szCs w:val="32"/>
        </w:rPr>
        <w:t>1.全面构建绿色制造体系。积极</w:t>
      </w:r>
      <w:r>
        <w:rPr>
          <w:rFonts w:hint="eastAsia" w:ascii="仿宋_GB2312" w:eastAsia="仿宋_GB2312" w:hAnsiTheme="minorEastAsia" w:cstheme="minorEastAsia"/>
          <w:szCs w:val="32"/>
        </w:rPr>
        <w:t>配合行业主管部门做好绿色设计、开发绿色产品、建设绿色工厂打造绿色供应链相关工作。</w:t>
      </w:r>
    </w:p>
    <w:p>
      <w:pPr>
        <w:spacing w:line="560" w:lineRule="exact"/>
        <w:ind w:firstLine="640" w:firstLineChars="200"/>
        <w:textAlignment w:val="baseline"/>
        <w:rPr>
          <w:rFonts w:ascii="仿宋_GB2312" w:eastAsia="仿宋_GB2312" w:hAnsiTheme="minorEastAsia" w:cstheme="minorEastAsia"/>
          <w:bCs/>
          <w:sz w:val="32"/>
          <w:szCs w:val="32"/>
        </w:rPr>
      </w:pPr>
      <w:r>
        <w:rPr>
          <w:rFonts w:hint="eastAsia" w:ascii="仿宋_GB2312" w:eastAsia="仿宋_GB2312" w:hAnsiTheme="minorEastAsia" w:cstheme="minorEastAsia"/>
          <w:bCs/>
          <w:sz w:val="32"/>
          <w:szCs w:val="32"/>
        </w:rPr>
        <w:t>2.深入践行绿色生活方式。广泛传播生态文明理念，动员全社会参与生态环境保护。深入党政机关、企业、学校、社区、农村等开展大宣讲活动。</w:t>
      </w:r>
    </w:p>
    <w:p>
      <w:pPr>
        <w:spacing w:line="560" w:lineRule="exact"/>
        <w:ind w:firstLine="640" w:firstLineChars="200"/>
        <w:jc w:val="left"/>
        <w:textAlignment w:val="baseline"/>
        <w:outlineLvl w:val="2"/>
        <w:rPr>
          <w:rStyle w:val="6"/>
          <w:rFonts w:ascii="楷体_GB2312" w:hAnsi="楷体_GB2312" w:eastAsia="楷体_GB2312" w:cs="楷体_GB2312"/>
          <w:bCs/>
          <w:sz w:val="32"/>
          <w:szCs w:val="32"/>
        </w:rPr>
      </w:pPr>
      <w:r>
        <w:rPr>
          <w:rStyle w:val="6"/>
          <w:rFonts w:hint="eastAsia" w:ascii="楷体_GB2312" w:hAnsi="楷体_GB2312" w:eastAsia="楷体_GB2312" w:cs="楷体_GB2312"/>
          <w:bCs/>
          <w:sz w:val="32"/>
          <w:szCs w:val="32"/>
        </w:rPr>
        <w:t>（二）推进废旧物资循环利用</w:t>
      </w:r>
    </w:p>
    <w:p>
      <w:pPr>
        <w:spacing w:line="560" w:lineRule="exact"/>
        <w:ind w:firstLine="640" w:firstLineChars="200"/>
        <w:jc w:val="left"/>
        <w:textAlignment w:val="baseline"/>
        <w:outlineLvl w:val="2"/>
        <w:rPr>
          <w:rFonts w:ascii="仿宋_GB2312" w:hAnsi="仿宋_GB2312" w:eastAsia="仿宋_GB2312" w:cs="仿宋_GB2312"/>
          <w:bCs/>
          <w:sz w:val="32"/>
          <w:szCs w:val="32"/>
        </w:rPr>
      </w:pPr>
      <w:r>
        <w:rPr>
          <w:rStyle w:val="6"/>
          <w:rFonts w:hint="eastAsia" w:ascii="仿宋_GB2312" w:hAnsi="仿宋_GB2312" w:eastAsia="仿宋_GB2312" w:cs="仿宋_GB2312"/>
          <w:bCs/>
          <w:sz w:val="32"/>
          <w:szCs w:val="32"/>
        </w:rPr>
        <w:t>推动废弃电器电子产品回收利用提质增效。提升废弃电器电子产品处理能力，鼓励家电行业企业建设废旧家电回收体系，落实家电生产者责任延伸制度，强化对废弃电器电子产品拆解管理。</w:t>
      </w:r>
    </w:p>
    <w:p>
      <w:pPr>
        <w:pStyle w:val="2"/>
        <w:spacing w:after="0" w:line="560" w:lineRule="exact"/>
        <w:ind w:firstLine="640" w:firstLineChars="200"/>
        <w:rPr>
          <w:rStyle w:val="6"/>
          <w:rFonts w:ascii="楷体_GB2312" w:hAnsi="楷体_GB2312" w:eastAsia="楷体_GB2312" w:cs="楷体_GB2312"/>
          <w:bCs/>
          <w:szCs w:val="32"/>
        </w:rPr>
      </w:pPr>
      <w:bookmarkStart w:id="22" w:name="_Toc112255051"/>
      <w:bookmarkStart w:id="23" w:name="_Toc112086490"/>
      <w:bookmarkStart w:id="24" w:name="_Toc112254610"/>
      <w:r>
        <w:rPr>
          <w:rStyle w:val="6"/>
          <w:rFonts w:hint="eastAsia" w:ascii="楷体_GB2312" w:hAnsi="楷体_GB2312" w:eastAsia="楷体_GB2312" w:cs="楷体_GB2312"/>
          <w:bCs/>
          <w:sz w:val="32"/>
          <w:szCs w:val="32"/>
        </w:rPr>
        <w:t>（三）推进“无废城市”文化建设</w:t>
      </w:r>
      <w:bookmarkEnd w:id="22"/>
      <w:bookmarkEnd w:id="23"/>
      <w:bookmarkEnd w:id="24"/>
    </w:p>
    <w:p>
      <w:pPr>
        <w:pStyle w:val="2"/>
        <w:spacing w:after="0" w:line="560" w:lineRule="exact"/>
        <w:ind w:firstLine="600" w:firstLineChars="200"/>
        <w:rPr>
          <w:rFonts w:ascii="仿宋_GB2312" w:eastAsia="仿宋_GB2312" w:hAnsiTheme="minorEastAsia" w:cstheme="minorEastAsia"/>
          <w:szCs w:val="32"/>
        </w:rPr>
      </w:pPr>
      <w:r>
        <w:rPr>
          <w:rFonts w:hint="eastAsia" w:ascii="仿宋_GB2312" w:eastAsia="仿宋_GB2312" w:hAnsiTheme="minorEastAsia" w:cstheme="minorEastAsia"/>
          <w:szCs w:val="32"/>
        </w:rPr>
        <w:t>1.践行“无废城市”理念，组织开展2024年度“无废城市”建设宣传活动，完善“无废城市细胞”建设管理体系，依托政务新媒体平台，开展全方位宣传。</w:t>
      </w:r>
    </w:p>
    <w:p>
      <w:pPr>
        <w:pStyle w:val="2"/>
        <w:spacing w:after="0" w:line="560" w:lineRule="exact"/>
        <w:ind w:firstLine="600" w:firstLineChars="200"/>
        <w:rPr>
          <w:rFonts w:ascii="仿宋_GB2312" w:eastAsia="仿宋_GB2312" w:hAnsiTheme="minorEastAsia" w:cstheme="minorEastAsia"/>
          <w:szCs w:val="32"/>
        </w:rPr>
      </w:pPr>
      <w:r>
        <w:rPr>
          <w:rFonts w:hint="eastAsia" w:ascii="仿宋_GB2312" w:eastAsia="仿宋_GB2312" w:hAnsiTheme="minorEastAsia" w:cstheme="minorEastAsia"/>
          <w:szCs w:val="32"/>
        </w:rPr>
        <w:t>2.围绕六五环境日、世界地球日、国际生物多样性日、全国低碳日等纪念日策划开展生态环境保护主题宣传和实践活动。</w:t>
      </w:r>
    </w:p>
    <w:p>
      <w:pPr>
        <w:spacing w:line="560" w:lineRule="exact"/>
        <w:ind w:firstLine="640" w:firstLineChars="200"/>
        <w:jc w:val="left"/>
        <w:textAlignment w:val="baseline"/>
        <w:outlineLvl w:val="1"/>
        <w:rPr>
          <w:rFonts w:ascii="黑体" w:hAnsi="黑体" w:eastAsia="黑体" w:cs="楷体_GB2312"/>
          <w:sz w:val="32"/>
          <w:szCs w:val="32"/>
        </w:rPr>
      </w:pPr>
      <w:bookmarkStart w:id="25" w:name="_Toc112255052"/>
      <w:bookmarkStart w:id="26" w:name="_Toc112086491"/>
      <w:r>
        <w:rPr>
          <w:rFonts w:hint="eastAsia" w:ascii="黑体" w:hAnsi="黑体" w:eastAsia="黑体" w:cs="楷体_GB2312"/>
          <w:sz w:val="32"/>
          <w:szCs w:val="32"/>
        </w:rPr>
        <w:t>三、推动工业转型升级，强化工业固体废物全过程管理</w:t>
      </w:r>
      <w:bookmarkEnd w:id="25"/>
      <w:bookmarkEnd w:id="26"/>
    </w:p>
    <w:p>
      <w:pPr>
        <w:spacing w:line="560" w:lineRule="exact"/>
        <w:ind w:firstLine="640" w:firstLineChars="200"/>
        <w:jc w:val="left"/>
        <w:textAlignment w:val="baseline"/>
        <w:outlineLvl w:val="2"/>
        <w:rPr>
          <w:rStyle w:val="6"/>
          <w:rFonts w:ascii="楷体_GB2312" w:hAnsi="楷体_GB2312" w:eastAsia="楷体_GB2312" w:cs="楷体_GB2312"/>
          <w:sz w:val="32"/>
          <w:szCs w:val="32"/>
        </w:rPr>
      </w:pPr>
      <w:r>
        <w:rPr>
          <w:rStyle w:val="6"/>
          <w:rFonts w:hint="eastAsia" w:ascii="楷体_GB2312" w:hAnsi="楷体_GB2312" w:eastAsia="楷体_GB2312" w:cs="楷体_GB2312"/>
          <w:bCs/>
          <w:sz w:val="32"/>
          <w:szCs w:val="32"/>
        </w:rPr>
        <w:t>（一）促进工业固体废物源头减量</w:t>
      </w:r>
    </w:p>
    <w:p>
      <w:pPr>
        <w:pStyle w:val="2"/>
        <w:spacing w:after="0" w:line="560" w:lineRule="exact"/>
        <w:ind w:firstLine="600" w:firstLineChars="200"/>
        <w:rPr>
          <w:rFonts w:ascii="仿宋_GB2312" w:eastAsia="仿宋_GB2312" w:hAnsiTheme="minorEastAsia" w:cstheme="minorEastAsia"/>
          <w:szCs w:val="32"/>
        </w:rPr>
      </w:pPr>
      <w:r>
        <w:rPr>
          <w:rFonts w:hint="eastAsia" w:ascii="仿宋_GB2312" w:eastAsia="仿宋_GB2312" w:hAnsiTheme="minorEastAsia" w:cstheme="minorEastAsia"/>
          <w:szCs w:val="32"/>
        </w:rPr>
        <w:t>大力推进清洁生产，深入推进重点行业强制性清洁生产审核，按年度省厅下达的实施强制性清洁生产企业名单，有序推进全市清洁生产审核工作，按规定组织开展评估验收，提高清洁生产审核质量。</w:t>
      </w:r>
      <w:bookmarkStart w:id="27" w:name="_Toc112254613"/>
      <w:bookmarkStart w:id="28" w:name="_Toc112255054"/>
      <w:bookmarkStart w:id="29" w:name="_Toc112086493"/>
    </w:p>
    <w:p>
      <w:pPr>
        <w:spacing w:line="560" w:lineRule="exact"/>
        <w:ind w:firstLine="640" w:firstLineChars="200"/>
        <w:textAlignment w:val="baseline"/>
        <w:outlineLvl w:val="2"/>
        <w:rPr>
          <w:rStyle w:val="6"/>
          <w:rFonts w:ascii="楷体_GB2312" w:hAnsi="楷体_GB2312" w:eastAsia="楷体_GB2312" w:cs="楷体_GB2312"/>
          <w:bCs/>
          <w:sz w:val="32"/>
          <w:szCs w:val="32"/>
        </w:rPr>
      </w:pPr>
      <w:r>
        <w:rPr>
          <w:rStyle w:val="6"/>
          <w:rFonts w:hint="eastAsia" w:ascii="楷体_GB2312" w:hAnsi="楷体_GB2312" w:eastAsia="楷体_GB2312" w:cs="楷体_GB2312"/>
          <w:bCs/>
          <w:sz w:val="32"/>
          <w:szCs w:val="32"/>
        </w:rPr>
        <w:t>（二）加强一般工业固体废物综合利用</w:t>
      </w:r>
      <w:bookmarkEnd w:id="27"/>
      <w:bookmarkEnd w:id="28"/>
      <w:bookmarkEnd w:id="29"/>
    </w:p>
    <w:p>
      <w:pPr>
        <w:spacing w:line="560" w:lineRule="exact"/>
        <w:ind w:firstLine="640" w:firstLineChars="200"/>
        <w:textAlignment w:val="baseline"/>
        <w:outlineLvl w:val="2"/>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促进工业固体废物源头减量和综合利用</w:t>
      </w:r>
      <w:r>
        <w:rPr>
          <w:rFonts w:hint="eastAsia" w:ascii="仿宋_GB2312" w:eastAsia="仿宋_GB2312" w:hAnsiTheme="minorEastAsia" w:cstheme="minorEastAsia"/>
          <w:bCs/>
          <w:sz w:val="32"/>
          <w:szCs w:val="32"/>
        </w:rPr>
        <w:t>，</w:t>
      </w:r>
      <w:r>
        <w:rPr>
          <w:rFonts w:hint="eastAsia" w:ascii="仿宋_GB2312" w:eastAsia="仿宋_GB2312" w:hAnsiTheme="minorEastAsia" w:cstheme="minorEastAsia"/>
          <w:sz w:val="32"/>
          <w:szCs w:val="32"/>
        </w:rPr>
        <w:t>引导“</w:t>
      </w:r>
      <w:r>
        <w:rPr>
          <w:rFonts w:ascii="仿宋_GB2312" w:eastAsia="仿宋_GB2312" w:hAnsiTheme="minorEastAsia" w:cstheme="minorEastAsia"/>
          <w:sz w:val="32"/>
          <w:szCs w:val="32"/>
        </w:rPr>
        <w:t>无废工厂</w:t>
      </w:r>
      <w:r>
        <w:rPr>
          <w:rFonts w:hint="eastAsia" w:ascii="仿宋_GB2312" w:eastAsia="仿宋_GB2312" w:hAnsiTheme="minorEastAsia" w:cstheme="minorEastAsia"/>
          <w:sz w:val="32"/>
          <w:szCs w:val="32"/>
        </w:rPr>
        <w:t>”</w:t>
      </w:r>
      <w:r>
        <w:rPr>
          <w:rFonts w:ascii="仿宋_GB2312" w:eastAsia="仿宋_GB2312" w:hAnsiTheme="minorEastAsia" w:cstheme="minorEastAsia"/>
          <w:sz w:val="32"/>
          <w:szCs w:val="32"/>
        </w:rPr>
        <w:t>系列</w:t>
      </w:r>
      <w:r>
        <w:rPr>
          <w:rFonts w:hint="eastAsia" w:ascii="仿宋_GB2312" w:eastAsia="仿宋_GB2312" w:hAnsiTheme="minorEastAsia" w:cstheme="minorEastAsia"/>
          <w:sz w:val="32"/>
          <w:szCs w:val="32"/>
        </w:rPr>
        <w:t>创建，鼓励园区、大型企业集团积极创建“无废园区”“无废工厂”，</w:t>
      </w:r>
      <w:r>
        <w:rPr>
          <w:rFonts w:hint="eastAsia" w:ascii="仿宋_GB2312" w:eastAsia="仿宋_GB2312" w:cs="宋体" w:hAnsiTheme="minorEastAsia"/>
          <w:kern w:val="0"/>
          <w:sz w:val="32"/>
          <w:szCs w:val="32"/>
          <w:lang w:bidi="zh-TW"/>
        </w:rPr>
        <w:t>以一汽大众“无废工厂”为基础，带动上下游企业共同参与探索 “无废园区”建设，形成协同一体的无废链条。</w:t>
      </w:r>
    </w:p>
    <w:p>
      <w:pPr>
        <w:spacing w:line="560" w:lineRule="exact"/>
        <w:ind w:firstLine="640" w:firstLineChars="200"/>
        <w:jc w:val="left"/>
        <w:textAlignment w:val="baseline"/>
        <w:outlineLvl w:val="2"/>
        <w:rPr>
          <w:rStyle w:val="6"/>
          <w:rFonts w:ascii="楷体_GB2312" w:hAnsi="楷体_GB2312" w:eastAsia="楷体_GB2312" w:cs="楷体_GB2312"/>
          <w:bCs/>
          <w:sz w:val="32"/>
          <w:szCs w:val="32"/>
        </w:rPr>
      </w:pPr>
      <w:bookmarkStart w:id="30" w:name="_Toc112086494"/>
      <w:bookmarkStart w:id="31" w:name="_Toc112254614"/>
      <w:bookmarkStart w:id="32" w:name="_Toc112255055"/>
      <w:r>
        <w:rPr>
          <w:rStyle w:val="6"/>
          <w:rFonts w:hint="eastAsia" w:ascii="楷体_GB2312" w:hAnsi="楷体_GB2312" w:eastAsia="楷体_GB2312" w:cs="楷体_GB2312"/>
          <w:bCs/>
          <w:sz w:val="32"/>
          <w:szCs w:val="32"/>
        </w:rPr>
        <w:t>（三）强化工业固体废物跟踪管理</w:t>
      </w:r>
      <w:bookmarkEnd w:id="30"/>
      <w:bookmarkEnd w:id="31"/>
      <w:bookmarkEnd w:id="32"/>
    </w:p>
    <w:p>
      <w:pPr>
        <w:spacing w:line="560" w:lineRule="exact"/>
        <w:ind w:firstLine="640" w:firstLineChars="200"/>
        <w:jc w:val="left"/>
        <w:textAlignment w:val="baseline"/>
        <w:outlineLvl w:val="2"/>
        <w:rPr>
          <w:rFonts w:ascii="仿宋_GB2312" w:eastAsia="仿宋_GB2312" w:hAnsiTheme="minorEastAsia" w:cstheme="minorEastAsia"/>
          <w:sz w:val="32"/>
          <w:szCs w:val="32"/>
        </w:rPr>
      </w:pPr>
      <w:r>
        <w:rPr>
          <w:rStyle w:val="6"/>
          <w:rFonts w:hint="eastAsia" w:ascii="仿宋_GB2312" w:hAnsi="仿宋_GB2312" w:eastAsia="仿宋_GB2312"/>
          <w:bCs/>
          <w:sz w:val="32"/>
          <w:szCs w:val="32"/>
        </w:rPr>
        <w:t>牵头开展“清废行动”，配合工业固体废物申报工作开展，针对大宗工业固体废物开展摸底调查。</w:t>
      </w:r>
      <w:r>
        <w:rPr>
          <w:rFonts w:hint="eastAsia" w:ascii="仿宋_GB2312" w:eastAsia="仿宋_GB2312" w:hAnsiTheme="minorEastAsia" w:cstheme="minorEastAsia"/>
          <w:sz w:val="32"/>
          <w:szCs w:val="32"/>
        </w:rPr>
        <w:t>依托青岛市危险废物综合信息管理平台，将重点工业企业纳入管理平台开展信息化监管。</w:t>
      </w:r>
    </w:p>
    <w:p>
      <w:pPr>
        <w:spacing w:line="560" w:lineRule="exact"/>
        <w:ind w:firstLine="640" w:firstLineChars="200"/>
        <w:textAlignment w:val="baseline"/>
        <w:outlineLvl w:val="2"/>
        <w:rPr>
          <w:rStyle w:val="6"/>
          <w:rFonts w:ascii="楷体_GB2312" w:hAnsi="楷体_GB2312" w:eastAsia="楷体_GB2312" w:cs="楷体_GB2312"/>
          <w:bCs/>
          <w:sz w:val="32"/>
          <w:szCs w:val="32"/>
        </w:rPr>
      </w:pPr>
      <w:r>
        <w:rPr>
          <w:rStyle w:val="6"/>
          <w:rFonts w:hint="eastAsia" w:ascii="楷体_GB2312" w:hAnsi="楷体_GB2312" w:eastAsia="楷体_GB2312" w:cs="楷体_GB2312"/>
          <w:bCs/>
          <w:sz w:val="32"/>
          <w:szCs w:val="32"/>
        </w:rPr>
        <w:t>（四）加强对新建项目节能审查</w:t>
      </w:r>
    </w:p>
    <w:p>
      <w:pPr>
        <w:tabs>
          <w:tab w:val="left" w:pos="312"/>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严控增量，把好节能审查准入关口，对能耗强度高于全区平均水平的项目采取新能源替代、淘汰落后产能等措施进行化解。3-5月加强对新建项目节能审查的事中事后监管，严控高耗能项目落户。6-8月继续加强重点用能企业管理，通过淘汰落后产能，减少煤炭消费，同时加强技术改造，通过对企业用能量监管进行全区能耗控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2.加强监测，对重点用能企业能源消费进行月度监测，若出现用能增幅过高情况及时预警调控。</w:t>
      </w:r>
    </w:p>
    <w:p>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3.密切关注新上耗煤项目，新建项目必须达到煤炭清洁高效利用重点领域标杆水平以上。9-12月加快推进中电建、华威、华能项目建设，进一步提升清洁能源在我区能源结构中比重。</w:t>
      </w:r>
    </w:p>
    <w:p>
      <w:pPr>
        <w:spacing w:line="560" w:lineRule="exact"/>
        <w:ind w:firstLine="640" w:firstLineChars="200"/>
        <w:jc w:val="left"/>
        <w:textAlignment w:val="baseline"/>
        <w:outlineLvl w:val="1"/>
        <w:rPr>
          <w:rFonts w:ascii="黑体" w:hAnsi="黑体" w:eastAsia="黑体" w:cs="楷体_GB2312"/>
          <w:sz w:val="32"/>
          <w:szCs w:val="32"/>
        </w:rPr>
      </w:pPr>
      <w:bookmarkStart w:id="33" w:name="_Toc112086495"/>
      <w:bookmarkStart w:id="34" w:name="_Toc112255056"/>
      <w:r>
        <w:rPr>
          <w:rFonts w:hint="eastAsia" w:ascii="黑体" w:hAnsi="黑体" w:eastAsia="黑体" w:cs="楷体_GB2312"/>
          <w:sz w:val="32"/>
          <w:szCs w:val="32"/>
        </w:rPr>
        <w:t>四、推进回收利用体系建设，促进农业固体废物综合利用</w:t>
      </w:r>
      <w:bookmarkEnd w:id="33"/>
      <w:bookmarkEnd w:id="34"/>
    </w:p>
    <w:p>
      <w:pPr>
        <w:spacing w:line="560" w:lineRule="exact"/>
        <w:ind w:firstLine="640" w:firstLineChars="200"/>
        <w:jc w:val="left"/>
        <w:textAlignment w:val="baseline"/>
        <w:outlineLvl w:val="2"/>
        <w:rPr>
          <w:rStyle w:val="6"/>
          <w:rFonts w:ascii="楷体_GB2312" w:hAnsi="楷体_GB2312" w:eastAsia="楷体_GB2312" w:cs="楷体_GB2312"/>
          <w:bCs/>
          <w:sz w:val="32"/>
          <w:szCs w:val="32"/>
        </w:rPr>
      </w:pPr>
      <w:bookmarkStart w:id="35" w:name="_Toc112255058"/>
      <w:bookmarkStart w:id="36" w:name="_Toc112086497"/>
      <w:bookmarkStart w:id="37" w:name="_Toc112254617"/>
      <w:r>
        <w:rPr>
          <w:rStyle w:val="6"/>
          <w:rFonts w:hint="eastAsia" w:ascii="楷体_GB2312" w:hAnsi="楷体_GB2312" w:eastAsia="楷体_GB2312" w:cs="楷体_GB2312"/>
          <w:bCs/>
          <w:sz w:val="32"/>
          <w:szCs w:val="32"/>
        </w:rPr>
        <w:t>（一）强化农药包装废弃物回收处置</w:t>
      </w:r>
    </w:p>
    <w:bookmarkEnd w:id="35"/>
    <w:bookmarkEnd w:id="36"/>
    <w:bookmarkEnd w:id="37"/>
    <w:p>
      <w:pPr>
        <w:spacing w:line="560" w:lineRule="exact"/>
        <w:jc w:val="left"/>
        <w:textAlignment w:val="baseline"/>
        <w:outlineLvl w:val="2"/>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积极配合主管部门建立完善农药包装废弃物回收处置体系。加强危险废物处置企业监督管理，督促处置企业严格落实各项环境管理要求。</w:t>
      </w:r>
      <w:bookmarkStart w:id="38" w:name="_Toc112254618"/>
      <w:bookmarkStart w:id="39" w:name="_Toc112086498"/>
      <w:bookmarkStart w:id="40" w:name="_Toc112255059"/>
    </w:p>
    <w:p>
      <w:pPr>
        <w:spacing w:line="560" w:lineRule="exact"/>
        <w:ind w:firstLine="640" w:firstLineChars="200"/>
        <w:jc w:val="left"/>
        <w:textAlignment w:val="baseline"/>
        <w:outlineLvl w:val="2"/>
        <w:rPr>
          <w:rStyle w:val="6"/>
          <w:rFonts w:ascii="楷体_GB2312" w:hAnsi="楷体_GB2312" w:eastAsia="楷体_GB2312" w:cs="楷体_GB2312"/>
          <w:bCs/>
          <w:sz w:val="32"/>
          <w:szCs w:val="32"/>
        </w:rPr>
      </w:pPr>
      <w:r>
        <w:rPr>
          <w:rStyle w:val="6"/>
          <w:rFonts w:hint="eastAsia" w:ascii="楷体_GB2312" w:hAnsi="楷体_GB2312" w:eastAsia="楷体_GB2312" w:cs="楷体_GB2312"/>
          <w:bCs/>
          <w:sz w:val="32"/>
          <w:szCs w:val="32"/>
        </w:rPr>
        <w:t>（二）促进农作物秸秆回收利用</w:t>
      </w:r>
      <w:bookmarkEnd w:id="38"/>
      <w:bookmarkEnd w:id="39"/>
      <w:bookmarkEnd w:id="40"/>
    </w:p>
    <w:p>
      <w:pPr>
        <w:spacing w:line="560" w:lineRule="exact"/>
        <w:ind w:firstLine="640" w:firstLineChars="200"/>
        <w:jc w:val="left"/>
        <w:textAlignment w:val="baseline"/>
        <w:outlineLvl w:val="2"/>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利用卫星遥感手段，对全市农作物秸秆等露天焚烧现象进行实时监控，建立日调度、日通报制度，持续开展督导检查工作，严厉查处焚烧秸秆行为。</w:t>
      </w:r>
    </w:p>
    <w:p>
      <w:pPr>
        <w:spacing w:line="560" w:lineRule="exact"/>
        <w:ind w:firstLine="640" w:firstLineChars="200"/>
        <w:jc w:val="left"/>
        <w:textAlignment w:val="baseline"/>
        <w:outlineLvl w:val="1"/>
        <w:rPr>
          <w:rFonts w:ascii="黑体" w:hAnsi="黑体" w:eastAsia="黑体" w:cs="楷体_GB2312"/>
          <w:sz w:val="32"/>
          <w:szCs w:val="32"/>
        </w:rPr>
      </w:pPr>
      <w:bookmarkStart w:id="41" w:name="_Toc31564"/>
      <w:bookmarkStart w:id="42" w:name="_Toc3912"/>
      <w:bookmarkStart w:id="43" w:name="_Toc112255062"/>
      <w:bookmarkStart w:id="44" w:name="_Toc112086501"/>
      <w:r>
        <w:rPr>
          <w:rFonts w:hint="eastAsia" w:ascii="黑体" w:hAnsi="黑体" w:eastAsia="黑体" w:cs="楷体_GB2312"/>
          <w:sz w:val="32"/>
          <w:szCs w:val="32"/>
        </w:rPr>
        <w:t>五、做好分类收集处理，促进社会源固体废物资源化</w:t>
      </w:r>
      <w:bookmarkEnd w:id="41"/>
      <w:bookmarkEnd w:id="42"/>
      <w:r>
        <w:rPr>
          <w:rFonts w:hint="eastAsia" w:ascii="黑体" w:hAnsi="黑体" w:eastAsia="黑体" w:cs="楷体_GB2312"/>
          <w:sz w:val="32"/>
          <w:szCs w:val="32"/>
        </w:rPr>
        <w:t>利用</w:t>
      </w:r>
      <w:bookmarkEnd w:id="43"/>
      <w:bookmarkEnd w:id="44"/>
    </w:p>
    <w:p>
      <w:pPr>
        <w:spacing w:line="560" w:lineRule="exact"/>
        <w:ind w:firstLine="640" w:firstLineChars="200"/>
        <w:jc w:val="left"/>
        <w:textAlignment w:val="baseline"/>
        <w:outlineLvl w:val="2"/>
        <w:rPr>
          <w:rStyle w:val="6"/>
          <w:rFonts w:ascii="楷体_GB2312" w:hAnsi="楷体_GB2312" w:eastAsia="楷体_GB2312" w:cs="楷体_GB2312"/>
          <w:bCs/>
          <w:sz w:val="32"/>
          <w:szCs w:val="32"/>
        </w:rPr>
      </w:pPr>
      <w:r>
        <w:rPr>
          <w:rStyle w:val="6"/>
          <w:rFonts w:hint="eastAsia" w:ascii="楷体_GB2312" w:hAnsi="楷体_GB2312" w:eastAsia="楷体_GB2312" w:cs="楷体_GB2312"/>
          <w:bCs/>
          <w:sz w:val="32"/>
          <w:szCs w:val="32"/>
        </w:rPr>
        <w:t>（一）促进生活垃圾处理处置</w:t>
      </w:r>
    </w:p>
    <w:p>
      <w:pPr>
        <w:spacing w:line="560" w:lineRule="exact"/>
        <w:ind w:firstLine="640" w:firstLineChars="200"/>
        <w:jc w:val="left"/>
        <w:textAlignment w:val="baseline"/>
        <w:outlineLvl w:val="2"/>
        <w:rPr>
          <w:rFonts w:ascii="仿宋_GB2312" w:eastAsia="仿宋_GB2312" w:hAnsiTheme="minorEastAsia" w:cstheme="minorEastAsia"/>
          <w:sz w:val="32"/>
          <w:szCs w:val="32"/>
        </w:rPr>
      </w:pPr>
      <w:r>
        <w:rPr>
          <w:rStyle w:val="6"/>
          <w:rFonts w:hint="eastAsia" w:ascii="仿宋_GB2312" w:hAnsi="仿宋_GB2312" w:eastAsia="仿宋_GB2312"/>
          <w:bCs/>
          <w:sz w:val="32"/>
          <w:szCs w:val="32"/>
        </w:rPr>
        <w:t>加强</w:t>
      </w:r>
      <w:r>
        <w:rPr>
          <w:rStyle w:val="6"/>
          <w:rFonts w:hint="eastAsia" w:ascii="仿宋_GB2312" w:eastAsia="仿宋_GB2312" w:cs="仿宋_GB2312"/>
          <w:bCs/>
          <w:sz w:val="32"/>
          <w:szCs w:val="32"/>
        </w:rPr>
        <w:t>强化垃圾分类监督管理，</w:t>
      </w:r>
      <w:r>
        <w:rPr>
          <w:rFonts w:hint="eastAsia" w:ascii="仿宋_GB2312" w:eastAsia="仿宋_GB2312" w:hAnsiTheme="minorEastAsia" w:cstheme="minorEastAsia"/>
          <w:sz w:val="32"/>
          <w:szCs w:val="32"/>
        </w:rPr>
        <w:t>督促危险废物处置企业落实有害垃圾清运和处置工作要求，配合开展有害垃圾归集点现场指导。</w:t>
      </w:r>
    </w:p>
    <w:p>
      <w:pPr>
        <w:spacing w:line="560" w:lineRule="exact"/>
        <w:ind w:firstLine="640" w:firstLineChars="200"/>
        <w:jc w:val="left"/>
        <w:textAlignment w:val="baseline"/>
        <w:outlineLvl w:val="2"/>
        <w:rPr>
          <w:rStyle w:val="6"/>
          <w:rFonts w:ascii="楷体_GB2312" w:hAnsi="楷体_GB2312" w:eastAsia="楷体_GB2312" w:cs="楷体_GB2312"/>
          <w:bCs/>
          <w:sz w:val="32"/>
          <w:szCs w:val="32"/>
        </w:rPr>
      </w:pPr>
      <w:bookmarkStart w:id="45" w:name="_Toc12277"/>
      <w:r>
        <w:rPr>
          <w:rStyle w:val="6"/>
          <w:rFonts w:hint="eastAsia" w:ascii="楷体_GB2312" w:hAnsi="楷体_GB2312" w:eastAsia="楷体_GB2312" w:cs="楷体_GB2312"/>
          <w:bCs/>
          <w:sz w:val="32"/>
          <w:szCs w:val="32"/>
        </w:rPr>
        <w:t>（二）开展建筑废弃物资源化利用工作</w:t>
      </w:r>
    </w:p>
    <w:p>
      <w:pPr>
        <w:spacing w:line="560" w:lineRule="exact"/>
        <w:ind w:firstLine="616" w:firstLineChars="200"/>
        <w:rPr>
          <w:rFonts w:ascii="仿宋_GB2312" w:eastAsia="仿宋_GB2312" w:hAnsiTheme="minorEastAsia" w:cstheme="minorEastAsia"/>
          <w:sz w:val="32"/>
          <w:szCs w:val="32"/>
        </w:rPr>
      </w:pPr>
      <w:r>
        <w:rPr>
          <w:rFonts w:hint="eastAsia" w:ascii="仿宋_GB2312" w:eastAsia="仿宋_GB2312"/>
          <w:spacing w:val="-6"/>
          <w:sz w:val="32"/>
          <w:szCs w:val="32"/>
        </w:rPr>
        <w:t>目前</w:t>
      </w:r>
      <w:r>
        <w:rPr>
          <w:rFonts w:hint="eastAsia" w:ascii="仿宋_GB2312" w:eastAsia="仿宋_GB2312"/>
          <w:spacing w:val="-6"/>
          <w:sz w:val="32"/>
          <w:szCs w:val="32"/>
          <w:lang w:eastAsia="zh-CN"/>
        </w:rPr>
        <w:t>即墨</w:t>
      </w:r>
      <w:r>
        <w:rPr>
          <w:rFonts w:hint="eastAsia" w:ascii="仿宋_GB2312" w:eastAsia="仿宋_GB2312"/>
          <w:spacing w:val="-6"/>
          <w:sz w:val="32"/>
          <w:szCs w:val="32"/>
        </w:rPr>
        <w:t>区共有获批《青岛市建筑废弃物资源化利用企业登记备案证》的建筑废弃物资源化利用企业4家，企业现有设备的处理对象主要为坚硬基坑石，主要利用方式是将坚硬基坑石加工成粗、细骨料，设计处理能力共计600万吨，实际处理能力约300万吨。</w:t>
      </w:r>
      <w:bookmarkStart w:id="48" w:name="_GoBack"/>
      <w:bookmarkEnd w:id="48"/>
      <w:r>
        <w:rPr>
          <w:rFonts w:hint="eastAsia" w:ascii="仿宋_GB2312" w:eastAsia="仿宋_GB2312"/>
          <w:spacing w:val="-6"/>
          <w:sz w:val="32"/>
          <w:szCs w:val="32"/>
        </w:rPr>
        <w:t>区行政审批局、住建局建筑业发展服务中心、园林环卫服务中心、市政公用事业服务中心、住宅保障服务中心已建立了联动办理工作机制，在建设项目开工前，审批局对建设单位申报的建筑废弃物资源化利用方案进行备案，对可资源化利用的建筑废弃物运往我区具有备案证的建筑废弃物资源化利用企业进行加工处置，生产再生</w:t>
      </w:r>
      <w:r>
        <w:rPr>
          <w:rFonts w:hint="eastAsia" w:ascii="仿宋_GB2312" w:hAnsi="仿宋" w:eastAsia="仿宋_GB2312"/>
          <w:sz w:val="32"/>
          <w:szCs w:val="32"/>
        </w:rPr>
        <w:t>产品；对不宜利用的建筑废弃物办理处置核准手续，运往建设单位提供的消纳场地进行填埋处置，住建局严格做好事中和事后跟踪监管，从源头控制建筑废弃物处置，提高资源利用效率。</w:t>
      </w:r>
    </w:p>
    <w:bookmarkEnd w:id="45"/>
    <w:p>
      <w:pPr>
        <w:spacing w:line="560" w:lineRule="exact"/>
        <w:ind w:firstLine="640" w:firstLineChars="200"/>
        <w:jc w:val="left"/>
        <w:textAlignment w:val="baseline"/>
        <w:outlineLvl w:val="1"/>
        <w:rPr>
          <w:rFonts w:ascii="黑体" w:hAnsi="黑体" w:eastAsia="黑体" w:cs="楷体_GB2312"/>
          <w:sz w:val="32"/>
          <w:szCs w:val="32"/>
        </w:rPr>
      </w:pPr>
      <w:bookmarkStart w:id="46" w:name="_Toc112086515"/>
      <w:bookmarkStart w:id="47" w:name="_Toc112255076"/>
      <w:r>
        <w:rPr>
          <w:rFonts w:hint="eastAsia" w:ascii="黑体" w:hAnsi="黑体" w:eastAsia="黑体" w:cs="楷体_GB2312"/>
          <w:sz w:val="32"/>
          <w:szCs w:val="32"/>
        </w:rPr>
        <w:t>六</w:t>
      </w:r>
      <w:r>
        <w:rPr>
          <w:rFonts w:ascii="黑体" w:hAnsi="黑体" w:eastAsia="黑体" w:cs="楷体_GB2312"/>
          <w:sz w:val="32"/>
          <w:szCs w:val="32"/>
        </w:rPr>
        <w:t>、</w:t>
      </w:r>
      <w:r>
        <w:rPr>
          <w:rFonts w:hint="eastAsia" w:ascii="黑体" w:hAnsi="黑体" w:eastAsia="黑体" w:cs="楷体_GB2312"/>
          <w:sz w:val="32"/>
          <w:szCs w:val="32"/>
        </w:rPr>
        <w:t>推进陆海协同共治，强化海洋固体废物综合治理</w:t>
      </w:r>
      <w:bookmarkEnd w:id="46"/>
      <w:bookmarkEnd w:id="47"/>
      <w:r>
        <w:rPr>
          <w:rFonts w:hint="eastAsia" w:ascii="黑体" w:hAnsi="黑体" w:eastAsia="黑体" w:cs="楷体_GB2312"/>
          <w:sz w:val="32"/>
          <w:szCs w:val="32"/>
        </w:rPr>
        <w:t>。</w:t>
      </w:r>
    </w:p>
    <w:p>
      <w:pPr>
        <w:pStyle w:val="3"/>
        <w:spacing w:line="560" w:lineRule="exact"/>
        <w:ind w:left="0" w:firstLine="640" w:firstLineChars="200"/>
        <w:jc w:val="both"/>
        <w:rPr>
          <w:rStyle w:val="6"/>
          <w:rFonts w:ascii="仿宋_GB2312" w:eastAsia="仿宋_GB2312" w:hAnsiTheme="minorEastAsia" w:cstheme="minorEastAsia"/>
          <w:sz w:val="32"/>
          <w:szCs w:val="32"/>
        </w:rPr>
      </w:pPr>
      <w:r>
        <w:rPr>
          <w:rStyle w:val="6"/>
          <w:rFonts w:hint="eastAsia" w:ascii="仿宋_GB2312" w:hAnsi="仿宋_GB2312" w:eastAsia="仿宋_GB2312"/>
          <w:bCs/>
          <w:sz w:val="32"/>
          <w:szCs w:val="32"/>
        </w:rPr>
        <w:t>加大海域塑料垃圾治理力度，</w:t>
      </w:r>
      <w:r>
        <w:rPr>
          <w:rFonts w:hint="eastAsia" w:ascii="仿宋_GB2312" w:eastAsia="仿宋_GB2312" w:hAnsiTheme="minorEastAsia" w:cstheme="minorEastAsia"/>
          <w:sz w:val="32"/>
          <w:szCs w:val="32"/>
        </w:rPr>
        <w:t>根据省湾长办有关要求继续开展净滩行动和美丽海湾建设。</w:t>
      </w:r>
      <w:r>
        <w:rPr>
          <w:rStyle w:val="6"/>
          <w:rFonts w:hint="eastAsia" w:ascii="仿宋_GB2312" w:hAnsi="仿宋_GB2312" w:eastAsia="仿宋_GB2312"/>
          <w:bCs/>
          <w:sz w:val="32"/>
          <w:szCs w:val="32"/>
        </w:rPr>
        <w:t>积极</w:t>
      </w:r>
      <w:r>
        <w:rPr>
          <w:rFonts w:hint="eastAsia" w:ascii="仿宋_GB2312" w:eastAsia="仿宋_GB2312" w:hAnsiTheme="minorEastAsia" w:cstheme="minorEastAsia"/>
          <w:sz w:val="32"/>
          <w:szCs w:val="32"/>
        </w:rPr>
        <w:t>配合主管部门做好港口船舶污染物和</w:t>
      </w:r>
      <w:r>
        <w:rPr>
          <w:rFonts w:ascii="仿宋_GB2312" w:eastAsia="仿宋_GB2312" w:hAnsiTheme="minorEastAsia" w:cstheme="minorEastAsia"/>
          <w:sz w:val="32"/>
          <w:szCs w:val="32"/>
        </w:rPr>
        <w:t>渔港产生的</w:t>
      </w:r>
      <w:r>
        <w:rPr>
          <w:rFonts w:hint="eastAsia" w:ascii="仿宋_GB2312" w:eastAsia="仿宋_GB2312" w:hAnsiTheme="minorEastAsia" w:cstheme="minorEastAsia"/>
          <w:sz w:val="32"/>
          <w:szCs w:val="32"/>
        </w:rPr>
        <w:t>危险废物的处置工作。</w:t>
      </w:r>
    </w:p>
    <w:p>
      <w:pPr>
        <w:pStyle w:val="2"/>
        <w:spacing w:after="0" w:line="560" w:lineRule="exact"/>
        <w:ind w:firstLine="600" w:firstLineChars="200"/>
        <w:rPr>
          <w:rFonts w:ascii="仿宋_GB2312" w:eastAsia="仿宋_GB2312" w:hAnsiTheme="minorEastAsia" w:cstheme="minorEastAsia"/>
          <w:szCs w:val="32"/>
        </w:rPr>
      </w:pPr>
    </w:p>
    <w:p>
      <w:pPr>
        <w:ind w:firstLine="640"/>
      </w:pPr>
    </w:p>
    <w:p>
      <w:pPr>
        <w:spacing w:line="560" w:lineRule="exact"/>
        <w:ind w:firstLine="640" w:firstLineChars="200"/>
        <w:textAlignment w:val="baseline"/>
        <w:outlineLvl w:val="2"/>
        <w:rPr>
          <w:sz w:val="32"/>
          <w:szCs w:val="32"/>
        </w:rPr>
      </w:pPr>
    </w:p>
    <w:p>
      <w:pPr>
        <w:spacing w:line="560" w:lineRule="exact"/>
        <w:ind w:left="3780" w:firstLine="640"/>
        <w:rPr>
          <w:rFonts w:ascii="仿宋_GB2312" w:eastAsia="仿宋_GB2312"/>
          <w:sz w:val="32"/>
          <w:szCs w:val="32"/>
        </w:rPr>
      </w:pPr>
      <w:r>
        <w:rPr>
          <w:rFonts w:hint="eastAsia" w:ascii="仿宋_GB2312" w:eastAsia="仿宋_GB2312"/>
          <w:sz w:val="32"/>
          <w:szCs w:val="32"/>
        </w:rPr>
        <w:t>青岛市生态环境局即墨分局</w:t>
      </w:r>
    </w:p>
    <w:p>
      <w:pPr>
        <w:spacing w:line="560" w:lineRule="exact"/>
        <w:ind w:left="4620" w:firstLine="640"/>
        <w:rPr>
          <w:rFonts w:ascii="仿宋_GB2312" w:eastAsia="仿宋_GB2312"/>
          <w:sz w:val="32"/>
          <w:szCs w:val="32"/>
        </w:rPr>
      </w:pPr>
      <w:r>
        <w:rPr>
          <w:rFonts w:hint="eastAsia" w:ascii="仿宋_GB2312" w:eastAsia="仿宋_GB2312"/>
          <w:sz w:val="32"/>
          <w:szCs w:val="32"/>
        </w:rPr>
        <w:t>2024年3月</w:t>
      </w:r>
      <w:r>
        <w:rPr>
          <w:rFonts w:hint="eastAsia" w:ascii="仿宋_GB2312" w:eastAsia="仿宋_GB2312"/>
          <w:sz w:val="32"/>
          <w:szCs w:val="32"/>
          <w:lang w:val="en-US" w:eastAsia="zh-CN"/>
        </w:rPr>
        <w:t>2</w:t>
      </w:r>
      <w:r>
        <w:rPr>
          <w:rFonts w:hint="eastAsia" w:ascii="仿宋_GB2312" w:eastAsia="仿宋_GB2312"/>
          <w:sz w:val="32"/>
          <w:szCs w:val="32"/>
        </w:rPr>
        <w:t>6日</w:t>
      </w:r>
      <w:bookmarkEnd w:id="2"/>
      <w:bookmarkEnd w:id="3"/>
      <w:bookmarkEnd w:id="4"/>
    </w:p>
    <w:p>
      <w:pPr>
        <w:rPr>
          <w:rFonts w:hint="default" w:ascii="仿宋" w:hAnsi="仿宋" w:eastAsia="仿宋" w:cs="仿宋"/>
          <w:spacing w:val="18"/>
          <w:sz w:val="32"/>
          <w:szCs w:val="32"/>
          <w:lang w:val="en-US" w:eastAsia="zh-CN"/>
        </w:rPr>
      </w:pPr>
    </w:p>
    <w:p>
      <w:pPr>
        <w:rPr>
          <w:rFonts w:hint="default" w:ascii="仿宋" w:hAnsi="仿宋" w:eastAsia="仿宋" w:cs="仿宋"/>
          <w:spacing w:val="18"/>
          <w:sz w:val="32"/>
          <w:szCs w:val="32"/>
          <w:lang w:val="en-US" w:eastAsia="zh-CN"/>
        </w:rPr>
      </w:pPr>
    </w:p>
    <w:p>
      <w:pPr>
        <w:rPr>
          <w:rFonts w:hint="eastAsia" w:ascii="仿宋" w:hAnsi="仿宋" w:eastAsia="仿宋" w:cs="仿宋"/>
          <w:spacing w:val="18"/>
          <w:sz w:val="32"/>
          <w:szCs w:val="32"/>
          <w:lang w:val="en-US" w:eastAsia="zh-CN"/>
        </w:rPr>
      </w:pPr>
      <w:r>
        <w:rPr>
          <w:rFonts w:hint="eastAsia" w:ascii="仿宋" w:hAnsi="仿宋" w:eastAsia="仿宋" w:cs="仿宋"/>
          <w:spacing w:val="18"/>
          <w:sz w:val="32"/>
          <w:szCs w:val="32"/>
          <w:lang w:val="en-US" w:eastAsia="zh-CN"/>
        </w:rPr>
        <w:t>签发领导：</w:t>
      </w:r>
    </w:p>
    <w:p>
      <w:pPr>
        <w:rPr>
          <w:rFonts w:hint="eastAsia" w:ascii="仿宋" w:hAnsi="仿宋" w:eastAsia="仿宋" w:cs="仿宋"/>
          <w:spacing w:val="18"/>
          <w:sz w:val="32"/>
          <w:szCs w:val="32"/>
          <w:lang w:val="en-US" w:eastAsia="zh-CN"/>
        </w:rPr>
      </w:pPr>
      <w:r>
        <w:rPr>
          <w:rFonts w:hint="eastAsia" w:ascii="仿宋" w:hAnsi="仿宋" w:eastAsia="仿宋" w:cs="仿宋"/>
          <w:spacing w:val="18"/>
          <w:sz w:val="32"/>
          <w:szCs w:val="32"/>
          <w:lang w:val="en-US" w:eastAsia="zh-CN"/>
        </w:rPr>
        <w:t xml:space="preserve">                </w:t>
      </w:r>
    </w:p>
    <w:p>
      <w:pPr>
        <w:ind w:firstLine="2848" w:firstLineChars="800"/>
        <w:rPr>
          <w:rFonts w:hint="eastAsia" w:ascii="仿宋" w:hAnsi="仿宋" w:eastAsia="仿宋" w:cs="仿宋"/>
          <w:spacing w:val="18"/>
          <w:sz w:val="32"/>
          <w:szCs w:val="32"/>
          <w:lang w:val="en-US" w:eastAsia="zh-CN"/>
        </w:rPr>
      </w:pPr>
      <w:r>
        <w:rPr>
          <w:rFonts w:hint="eastAsia" w:ascii="仿宋" w:hAnsi="仿宋" w:eastAsia="仿宋" w:cs="仿宋"/>
          <w:spacing w:val="18"/>
          <w:sz w:val="32"/>
          <w:szCs w:val="32"/>
          <w:lang w:val="en-US" w:eastAsia="zh-CN"/>
        </w:rPr>
        <w:t>承办人及电话：泮雯雯 87512369</w:t>
      </w:r>
    </w:p>
    <w:p>
      <w:pPr>
        <w:pStyle w:val="2"/>
        <w:spacing w:before="304" w:line="189" w:lineRule="auto"/>
        <w:ind w:left="34"/>
        <w:rPr>
          <w:sz w:val="31"/>
          <w:szCs w:val="31"/>
        </w:rPr>
      </w:pPr>
      <w:r>
        <w:rPr>
          <w:spacing w:val="7"/>
          <w:sz w:val="31"/>
          <w:szCs w:val="31"/>
        </w:rPr>
        <w:t>抄送：区政府政务督查室</w:t>
      </w:r>
    </w:p>
    <w:p>
      <w:pPr>
        <w:rPr>
          <w:rFonts w:hint="default" w:ascii="仿宋" w:hAnsi="仿宋" w:eastAsia="仿宋" w:cs="仿宋"/>
          <w:spacing w:val="18"/>
          <w:sz w:val="32"/>
          <w:szCs w:val="32"/>
          <w:lang w:val="en-US" w:eastAsia="zh-CN"/>
        </w:rPr>
      </w:pPr>
    </w:p>
    <w:sectPr>
      <w:pgSz w:w="11910" w:h="16840"/>
      <w:pgMar w:top="1440" w:right="1800" w:bottom="1440" w:left="1800" w:header="0" w:footer="1315" w:gutter="0"/>
      <w:cols w:space="0" w:num="1"/>
      <w:rtlGutter w:val="0"/>
      <w:docGrid w:type="lines" w:linePitch="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Mono CJK JP Bold">
    <w:altName w:val="hakuyoxingshu7000"/>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yZTM5OTc3NjU3YTBjNGQ2NmVmNzgyMzY5Yzc2ODYifQ=="/>
  </w:docVars>
  <w:rsids>
    <w:rsidRoot w:val="036A294A"/>
    <w:rsid w:val="036A294A"/>
    <w:rsid w:val="107F665B"/>
    <w:rsid w:val="1A2331F1"/>
    <w:rsid w:val="32AE4350"/>
    <w:rsid w:val="442A0DE4"/>
    <w:rsid w:val="5066088A"/>
    <w:rsid w:val="5B6231FB"/>
    <w:rsid w:val="64284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0"/>
      <w:szCs w:val="30"/>
      <w:lang w:val="en-US" w:eastAsia="en-US" w:bidi="ar-SA"/>
    </w:rPr>
  </w:style>
  <w:style w:type="paragraph" w:styleId="3">
    <w:name w:val="toc 4"/>
    <w:basedOn w:val="1"/>
    <w:next w:val="1"/>
    <w:qFormat/>
    <w:uiPriority w:val="0"/>
    <w:pPr>
      <w:ind w:left="630" w:firstLine="723"/>
      <w:jc w:val="left"/>
    </w:pPr>
    <w:rPr>
      <w:rFonts w:eastAsia="Arial Unicode MS"/>
      <w:sz w:val="18"/>
      <w:szCs w:val="18"/>
    </w:rPr>
  </w:style>
  <w:style w:type="character" w:styleId="6">
    <w:name w:val="annotation reference"/>
    <w:unhideWhenUsed/>
    <w:qFormat/>
    <w:uiPriority w:val="99"/>
    <w:rPr>
      <w:rFonts w:ascii="Tahoma" w:hAnsi="Tahoma"/>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2024-03-26T01:07:00Z</dcterms:created>
  <dc:creator>纯欲女大学生</dc:creator>
  <cp:lastModifiedBy>纯欲女大学生</cp:lastModifiedBy>
  <dcterms:modified xsi:type="dcterms:W3CDTF">2024-03-26T02:39:25Z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83154A37B90344C2996002F414D7D13E_13</vt:lpwstr>
  </property>
</Properties>
</file>