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标记：A</w:t>
      </w:r>
    </w:p>
    <w:p>
      <w:pPr>
        <w:spacing w:line="560" w:lineRule="exact"/>
        <w:jc w:val="both"/>
        <w:rPr>
          <w:rFonts w:ascii="Times New Roman" w:hAnsi="Times New Roman" w:eastAsia="方正小标宋_GBK" w:cs="Times New Roman"/>
          <w:bCs/>
          <w:sz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即墨区工业和信息化局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对区政协十五届二次会议第176号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提案的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答复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吴文水委员：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您提出的“积极推广‘工业上楼’模式 加快推进产业转型升级发展”的提案收悉。现答复如下：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一、</w:t>
      </w:r>
      <w:r>
        <w:rPr>
          <w:rFonts w:hint="eastAsia" w:ascii="黑体" w:hAnsi="黑体" w:eastAsia="黑体" w:cs="黑体"/>
          <w:sz w:val="32"/>
          <w:lang w:val="en-US" w:eastAsia="zh-CN"/>
        </w:rPr>
        <w:t>工作开展</w:t>
      </w:r>
      <w:r>
        <w:rPr>
          <w:rFonts w:hint="eastAsia" w:ascii="黑体" w:hAnsi="黑体" w:eastAsia="黑体" w:cs="黑体"/>
          <w:sz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（一）“专”字当头，探索工业上楼“新模式”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聚焦机制“专”。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研究谋划，吸收深圳等先进地区好经验、好做法，广泛听取联东U谷等产业园区运营龙头企业意见建议，结合我区实际，研究出台《关于促进专业产业园区发展的实施意见》；牵头成立区级领导小组，强化顶格协调、顶格推进、顶格落实，构建部门横向协同、镇街纵向联动的工作机制，筑牢“工业上楼”的制度根基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聚焦产业“专”。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专业化定位，围绕全区15条重点产业链和“四新”经济产业，把专业产业园区发展的着力点放在以工业产业为主的实体经济上。每条产业链明确主要承载区域和协同发展区域，每个园区主攻1-2个重点产业链，园区投入运营后主导产业集聚度可达70%以上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聚焦服务“专”。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建立领导班子网格化包联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项目制度，聚焦制约环节，主动跟踪服务，全力以赴促进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园区早竣工、早运营。协调相关部门开辟绿色审批通道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指导协助园区办理工业地产预售手续，帮助入驻企业办理好产权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登记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让企业入驻省心、生产安心、运营舒心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（二）“腾”字为要，造就升级改造“新示范”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开展“腾笼换鸟”行动。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通过空间“腾散换聚”、企业“腾低换高”等系列举措，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对重点老旧园区进行全面改造，成方连片盘活土地资源，拓展高质量项目发展空间。通过“腾笼换鸟”，金山工业园已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引进落户盈凡科技、生命健康城等一批重点项目，总投资40亿元，实现税收约1.8亿元，满产后经济效益是改造前的100多倍，土地效益实现裂变式倍增。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推广“工业上楼”模式。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以市场化、专业化为导向，引进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联东U谷等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产业园区专业运营企业对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工业园区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进行专业化改造，将低效用地建设成多层工业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厂房，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成功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将原本仅能落户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家传统企业的土地改造为可容纳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百余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专业产业园区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目前，联东U谷等园区运营企业已在我区投资建设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20个专业产业园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，盘活用地1490.23亩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可容纳中小企业1000余家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深化“亩产效益”改革。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完善“亩产”概念，丰富“效益”内涵，研究出台《即墨区工业企业“亩产效益”评价办法》，构建全区工业企业综合评价指标体系，每年度分别对规上和规下企业评价分类，进行ABCD四类分档。</w:t>
      </w:r>
      <w:r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"/>
        </w:rPr>
        <w:t>对非投资类政策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兑现</w:t>
      </w:r>
      <w:r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"/>
        </w:rPr>
        <w:t>进行差别化配置，A类和B类企业保障100%资金，C类企业保障80%资金，D类企业不予扶持。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（三）“引”字增力，汇聚产业发展“新动能”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精准发力以链招引。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牵头的7条重点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产业链，系统梳理和甄别产业链的关键缺失环节和未来发展方向，细化建链、补链、强链、延链路线图，“按图索骥”开展产业链精准招商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eastAsia="仿宋_GB2312"/>
          <w:spacing w:val="-10"/>
          <w:sz w:val="32"/>
          <w:szCs w:val="32"/>
        </w:rPr>
        <w:t>7条产业链共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引入</w:t>
      </w:r>
      <w:r>
        <w:rPr>
          <w:rFonts w:hint="eastAsia" w:ascii="仿宋_GB2312" w:eastAsia="仿宋_GB2312"/>
          <w:spacing w:val="-10"/>
          <w:sz w:val="32"/>
          <w:szCs w:val="32"/>
        </w:rPr>
        <w:t>项目</w:t>
      </w:r>
      <w:r>
        <w:rPr>
          <w:rFonts w:ascii="仿宋_GB2312" w:eastAsia="仿宋_GB2312"/>
          <w:spacing w:val="-10"/>
          <w:sz w:val="32"/>
          <w:szCs w:val="32"/>
        </w:rPr>
        <w:t>71</w:t>
      </w:r>
      <w:r>
        <w:rPr>
          <w:rFonts w:hint="eastAsia" w:ascii="仿宋_GB2312" w:eastAsia="仿宋_GB2312"/>
          <w:spacing w:val="-10"/>
          <w:sz w:val="32"/>
          <w:szCs w:val="32"/>
        </w:rPr>
        <w:t>个，其中在谈项目</w:t>
      </w:r>
      <w:r>
        <w:rPr>
          <w:rFonts w:ascii="仿宋_GB2312" w:eastAsia="仿宋_GB2312"/>
          <w:spacing w:val="-10"/>
          <w:sz w:val="32"/>
          <w:szCs w:val="32"/>
        </w:rPr>
        <w:t>21</w:t>
      </w:r>
      <w:r>
        <w:rPr>
          <w:rFonts w:hint="eastAsia" w:ascii="仿宋_GB2312" w:eastAsia="仿宋_GB2312"/>
          <w:spacing w:val="-10"/>
          <w:sz w:val="32"/>
          <w:szCs w:val="32"/>
        </w:rPr>
        <w:t>个，签约项目</w:t>
      </w:r>
      <w:r>
        <w:rPr>
          <w:rFonts w:ascii="仿宋_GB2312" w:eastAsia="仿宋_GB2312"/>
          <w:spacing w:val="-10"/>
          <w:sz w:val="32"/>
          <w:szCs w:val="32"/>
        </w:rPr>
        <w:t>19</w:t>
      </w:r>
      <w:r>
        <w:rPr>
          <w:rFonts w:hint="eastAsia" w:ascii="仿宋_GB2312" w:eastAsia="仿宋_GB2312"/>
          <w:spacing w:val="-10"/>
          <w:sz w:val="32"/>
          <w:szCs w:val="32"/>
        </w:rPr>
        <w:t>个，在建项目</w:t>
      </w:r>
      <w:r>
        <w:rPr>
          <w:rFonts w:ascii="仿宋_GB2312" w:eastAsia="仿宋_GB2312"/>
          <w:spacing w:val="-10"/>
          <w:sz w:val="32"/>
          <w:szCs w:val="32"/>
        </w:rPr>
        <w:t>31</w:t>
      </w:r>
      <w:r>
        <w:rPr>
          <w:rFonts w:hint="eastAsia" w:ascii="仿宋_GB2312" w:eastAsia="仿宋_GB2312"/>
          <w:spacing w:val="-1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精准发力以企招引。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深挖本地存量企业资源，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定期走访</w:t>
      </w:r>
      <w:r>
        <w:rPr>
          <w:rFonts w:hint="eastAsia" w:ascii="仿宋_GB2312" w:hAnsi="仿宋_GB2312" w:eastAsia="仿宋_GB2312" w:cs="仿宋_GB2312"/>
          <w:sz w:val="32"/>
          <w:szCs w:val="32"/>
        </w:rPr>
        <w:t>19家“链主”企业、重点骨干企业及其配套企业，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掌握企业投资意愿、投资动向，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产业链上下游企业落户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，打造以企招企、以商招商的头部资源集成平台。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目前，共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梳理3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个总投资1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12.6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亿元的工业技改项目，其中，已开工2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个；14个总投资64.88亿元的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以企招商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项目，其中，已完成签约5个。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精准发力以园招引。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紧紧围绕专业园区产业定位，坚持“一园一业”，引导园区把招商引资着力点放在科技含量高、产业关联度大、集聚度高的产业支撑项目上，确保一批好项目、优质企业落地见效。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目前，全区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通过认定的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专业产业园区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招引企业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200余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二、下步工作打算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（一）严格落实政策措施。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充分利用专业产业园区模式，向空中求发展、向空间要效益，进一步盘活闲置低效土地、唤醒沉睡资源。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以市场化、专业化为导向，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引进产业园区专业运营企业对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老旧低效工业园区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进行专业化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升级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改造，将低效用地建设成多层工业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厂房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提高土地集约率和使用效益。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落实落细《关于促进专业产业园区发展的实施意见》，尽快出台实施细则。坚持把培育发展专业产业园区作为拓展工业发展空间，推进“工业上楼”，打造特色产业集群的重要途径。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（二）全力保障园区建设。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积极对接项目开发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主体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，主动加强服务，推进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园区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加快建设，力争早竣工</w:t>
      </w:r>
      <w:r>
        <w:rPr>
          <w:rFonts w:hint="eastAsia" w:ascii="仿宋_GB2312" w:eastAsia="仿宋_GB2312" w:cs="FZFSK--GBK1-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早运营，尽快建成一批各具特色的专业产业园区</w:t>
      </w:r>
      <w:r>
        <w:rPr>
          <w:rFonts w:hint="eastAsia" w:ascii="仿宋_GB2312" w:cs="FZFSK--GBK1-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指导和协助园区办理好工业地产预售相关手续，帮助入驻企业办理好产权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登记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让企业入驻省心、生产安心、运营舒心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（三）精准开展项目招引。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加大招商引资力度，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用好市场化、社会化招商力量，积极开展产业链招商、以商招商，</w:t>
      </w:r>
      <w:r>
        <w:rPr>
          <w:rFonts w:hint="eastAsia" w:ascii="仿宋_GB2312" w:hAnsi="文星标宋" w:eastAsia="仿宋_GB2312"/>
          <w:spacing w:val="-6"/>
          <w:sz w:val="32"/>
          <w:szCs w:val="32"/>
        </w:rPr>
        <w:t>引进</w:t>
      </w:r>
      <w:r>
        <w:rPr>
          <w:rFonts w:hint="eastAsia" w:ascii="仿宋_GB2312" w:hAnsi="文星标宋" w:eastAsia="仿宋_GB2312"/>
          <w:spacing w:val="-6"/>
          <w:sz w:val="32"/>
          <w:szCs w:val="32"/>
          <w:lang w:val="en-US" w:eastAsia="zh-CN"/>
        </w:rPr>
        <w:t>一批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科技含量高、经济效益好、市场前景广阔的优质项目入驻园区，支持专业产业园区</w:t>
      </w:r>
      <w:r>
        <w:rPr>
          <w:rFonts w:hint="eastAsia" w:ascii="仿宋_GB2312" w:eastAsia="仿宋_GB2312" w:cs="FZFSK--GBK1-0"/>
          <w:kern w:val="0"/>
          <w:sz w:val="32"/>
          <w:szCs w:val="32"/>
          <w:lang w:val="en-US" w:eastAsia="zh-CN"/>
        </w:rPr>
        <w:t>特色化、专业化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发展。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青岛市即墨区工业和信息化局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2023年3月27日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签发领导：</w:t>
      </w:r>
    </w:p>
    <w:p>
      <w:pPr>
        <w:pStyle w:val="2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承办人及电话：王宇博 89067136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抄送：区政府政务督查室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both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TU2MjY2MzllM2I4ZDNmM2NhNTZmNzJhNTNkNjUifQ=="/>
  </w:docVars>
  <w:rsids>
    <w:rsidRoot w:val="4F5B765E"/>
    <w:rsid w:val="06802D2E"/>
    <w:rsid w:val="0808754A"/>
    <w:rsid w:val="091361A6"/>
    <w:rsid w:val="09272A5F"/>
    <w:rsid w:val="0C6831D4"/>
    <w:rsid w:val="0C8D626F"/>
    <w:rsid w:val="0DF94C5A"/>
    <w:rsid w:val="12E82AAF"/>
    <w:rsid w:val="13B03C7A"/>
    <w:rsid w:val="140E413A"/>
    <w:rsid w:val="14811970"/>
    <w:rsid w:val="150B5CEA"/>
    <w:rsid w:val="15571BF4"/>
    <w:rsid w:val="15F4529D"/>
    <w:rsid w:val="16DE4297"/>
    <w:rsid w:val="17DC50AD"/>
    <w:rsid w:val="194D00D3"/>
    <w:rsid w:val="1B764666"/>
    <w:rsid w:val="1EA23DFC"/>
    <w:rsid w:val="21740DB3"/>
    <w:rsid w:val="219C2D85"/>
    <w:rsid w:val="22066450"/>
    <w:rsid w:val="24A32EE9"/>
    <w:rsid w:val="24B75181"/>
    <w:rsid w:val="24D97E4C"/>
    <w:rsid w:val="24EA3E07"/>
    <w:rsid w:val="277B344A"/>
    <w:rsid w:val="27B747C9"/>
    <w:rsid w:val="28C36E49"/>
    <w:rsid w:val="294C32E2"/>
    <w:rsid w:val="2C934D84"/>
    <w:rsid w:val="2D933623"/>
    <w:rsid w:val="30C33FAD"/>
    <w:rsid w:val="31FE0EF2"/>
    <w:rsid w:val="335F1E64"/>
    <w:rsid w:val="336201EF"/>
    <w:rsid w:val="39935C9C"/>
    <w:rsid w:val="3AD57FE8"/>
    <w:rsid w:val="3C145807"/>
    <w:rsid w:val="3EF15569"/>
    <w:rsid w:val="42C34BB0"/>
    <w:rsid w:val="435E5C94"/>
    <w:rsid w:val="44923190"/>
    <w:rsid w:val="46E26BDC"/>
    <w:rsid w:val="48500BB5"/>
    <w:rsid w:val="49A30398"/>
    <w:rsid w:val="4B4D60D9"/>
    <w:rsid w:val="4F5B765E"/>
    <w:rsid w:val="5288688A"/>
    <w:rsid w:val="532E1843"/>
    <w:rsid w:val="53CC09F8"/>
    <w:rsid w:val="54456B8D"/>
    <w:rsid w:val="5602076B"/>
    <w:rsid w:val="57996E43"/>
    <w:rsid w:val="586B0F65"/>
    <w:rsid w:val="5AC26AAA"/>
    <w:rsid w:val="5BD7043F"/>
    <w:rsid w:val="5BEA48B3"/>
    <w:rsid w:val="5D26137B"/>
    <w:rsid w:val="608F16DE"/>
    <w:rsid w:val="60F65306"/>
    <w:rsid w:val="62A0377C"/>
    <w:rsid w:val="62D40BB8"/>
    <w:rsid w:val="63C70312"/>
    <w:rsid w:val="6440527B"/>
    <w:rsid w:val="64D771FD"/>
    <w:rsid w:val="67921BDA"/>
    <w:rsid w:val="688E0E5C"/>
    <w:rsid w:val="6A9260A0"/>
    <w:rsid w:val="6AB2048B"/>
    <w:rsid w:val="6B3103E7"/>
    <w:rsid w:val="6BE4635B"/>
    <w:rsid w:val="6C1C2FCC"/>
    <w:rsid w:val="6C625422"/>
    <w:rsid w:val="6C632A06"/>
    <w:rsid w:val="6FAF4FFE"/>
    <w:rsid w:val="7036571F"/>
    <w:rsid w:val="716F16FE"/>
    <w:rsid w:val="73FE0302"/>
    <w:rsid w:val="76FF6603"/>
    <w:rsid w:val="7758241F"/>
    <w:rsid w:val="78A529BF"/>
    <w:rsid w:val="79774EFB"/>
    <w:rsid w:val="79E52F3B"/>
    <w:rsid w:val="7BC462D5"/>
    <w:rsid w:val="7CBE5CAE"/>
    <w:rsid w:val="7CF44998"/>
    <w:rsid w:val="7D052BB3"/>
    <w:rsid w:val="7E4579CC"/>
    <w:rsid w:val="7E4E42F4"/>
    <w:rsid w:val="7EFE1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link w:val="14"/>
    <w:semiHidden/>
    <w:qFormat/>
    <w:uiPriority w:val="0"/>
    <w:rPr>
      <w:rFonts w:ascii="Tahoma" w:hAnsi="Tahoma"/>
      <w:b/>
      <w:sz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560" w:lineRule="exact"/>
      <w:ind w:firstLine="615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默认段落字体 Para Char Char Char Char Char Char Char Char Char Char Char Char Char Char Char1 Char Char Char Char"/>
    <w:basedOn w:val="4"/>
    <w:link w:val="1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UserStyle_1"/>
    <w:semiHidden/>
    <w:qFormat/>
    <w:uiPriority w:val="0"/>
  </w:style>
  <w:style w:type="character" w:customStyle="1" w:styleId="17">
    <w:name w:val="NormalCharacter"/>
    <w:link w:val="18"/>
    <w:semiHidden/>
    <w:qFormat/>
    <w:uiPriority w:val="0"/>
  </w:style>
  <w:style w:type="paragraph" w:customStyle="1" w:styleId="18">
    <w:name w:val="UserStyle_4"/>
    <w:basedOn w:val="1"/>
    <w:link w:val="17"/>
    <w:qFormat/>
    <w:uiPriority w:val="0"/>
  </w:style>
  <w:style w:type="paragraph" w:customStyle="1" w:styleId="19">
    <w:name w:val="Normal Indent1"/>
    <w:basedOn w:val="1"/>
    <w:unhideWhenUsed/>
    <w:qFormat/>
    <w:uiPriority w:val="0"/>
    <w:pPr>
      <w:spacing w:line="660" w:lineRule="exact"/>
      <w:ind w:firstLine="720"/>
    </w:pPr>
    <w:rPr>
      <w:rFonts w:ascii="宋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1880</Words>
  <Characters>1940</Characters>
  <Lines>0</Lines>
  <Paragraphs>0</Paragraphs>
  <TotalTime>1</TotalTime>
  <ScaleCrop>false</ScaleCrop>
  <LinksUpToDate>false</LinksUpToDate>
  <CharactersWithSpaces>1973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2019-01-14T01:35:00Z</dcterms:created>
  <dc:creator>luctw</dc:creator>
  <cp:lastModifiedBy>GJZX</cp:lastModifiedBy>
  <cp:lastPrinted>2022-06-07T02:53:00Z</cp:lastPrinted>
  <dcterms:modified xsi:type="dcterms:W3CDTF">2023-03-27T09:03:56Z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3CBB4A2CBC2443F6AE94A2E6D29159AB</vt:lpwstr>
  </property>
</Properties>
</file>