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05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ascii="宋体" w:hAnsi="宋体"/>
          <w:spacing w:val="-10"/>
          <w:sz w:val="44"/>
        </w:rPr>
      </w:pPr>
      <w:r>
        <w:rPr>
          <w:rFonts w:hint="eastAsia" w:ascii="黑体" w:eastAsia="黑体"/>
          <w:sz w:val="28"/>
        </w:rPr>
        <w:t xml:space="preserve">                  </w:t>
      </w:r>
      <w:r>
        <w:rPr>
          <w:rFonts w:hint="eastAsia" w:ascii="黑体" w:eastAsia="黑体"/>
          <w:sz w:val="28"/>
          <w:lang w:val="en-US" w:eastAsia="zh-CN"/>
        </w:rPr>
        <w:t xml:space="preserve">                           </w:t>
      </w:r>
      <w:r>
        <w:rPr>
          <w:rFonts w:hint="eastAsia" w:ascii="黑体" w:eastAsia="黑体"/>
          <w:sz w:val="28"/>
        </w:rPr>
        <w:t xml:space="preserve">   </w:t>
      </w:r>
      <w:r>
        <w:rPr>
          <w:rFonts w:hint="eastAsia" w:ascii="黑体" w:eastAsia="黑体"/>
          <w:sz w:val="28"/>
          <w:lang w:val="en-US" w:eastAsia="zh-CN"/>
        </w:rPr>
        <w:t xml:space="preserve">    </w:t>
      </w:r>
      <w:r>
        <w:rPr>
          <w:rFonts w:hint="eastAsia" w:ascii="黑体" w:eastAsia="黑体"/>
          <w:sz w:val="28"/>
        </w:rPr>
        <w:t>标记：</w:t>
      </w:r>
      <w:r>
        <w:rPr>
          <w:rFonts w:hint="eastAsia" w:ascii="黑体" w:eastAsia="黑体"/>
          <w:spacing w:val="-4"/>
          <w:sz w:val="28"/>
        </w:rPr>
        <w:t>A</w:t>
      </w:r>
    </w:p>
    <w:p w14:paraId="31251FB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  <w:lang w:eastAsia="zh-CN"/>
        </w:rPr>
      </w:pPr>
    </w:p>
    <w:p w14:paraId="740D86A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  <w:lang w:eastAsia="zh-CN"/>
        </w:rPr>
      </w:pP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青岛市</w:t>
      </w:r>
      <w:r>
        <w:rPr>
          <w:rFonts w:hint="eastAsia" w:ascii="方正小标宋_GBK" w:hAnsi="宋体" w:eastAsia="方正小标宋_GBK"/>
          <w:spacing w:val="-10"/>
          <w:sz w:val="44"/>
        </w:rPr>
        <w:t>即墨区</w:t>
      </w: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市场监督管理局</w:t>
      </w:r>
    </w:p>
    <w:p w14:paraId="4B1D89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关于对区</w:t>
      </w: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十九</w:t>
      </w:r>
      <w:r>
        <w:rPr>
          <w:rFonts w:hint="eastAsia" w:ascii="方正小标宋_GBK" w:hAnsi="宋体" w:eastAsia="方正小标宋_GBK"/>
          <w:spacing w:val="-10"/>
          <w:sz w:val="44"/>
        </w:rPr>
        <w:t>届人大</w:t>
      </w:r>
      <w:r>
        <w:rPr>
          <w:rFonts w:hint="eastAsia" w:ascii="方正小标宋_GBK" w:hAnsi="宋体" w:eastAsia="方正小标宋_GBK"/>
          <w:spacing w:val="-10"/>
          <w:sz w:val="44"/>
          <w:lang w:eastAsia="zh-CN"/>
        </w:rPr>
        <w:t>四</w:t>
      </w:r>
      <w:r>
        <w:rPr>
          <w:rFonts w:hint="eastAsia" w:ascii="方正小标宋_GBK" w:hAnsi="宋体" w:eastAsia="方正小标宋_GBK"/>
          <w:spacing w:val="-10"/>
          <w:sz w:val="44"/>
        </w:rPr>
        <w:t>次会议第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66</w:t>
      </w:r>
      <w:r>
        <w:rPr>
          <w:rFonts w:hint="eastAsia" w:ascii="方正小标宋_GBK" w:hAnsi="宋体" w:eastAsia="方正小标宋_GBK"/>
          <w:spacing w:val="-10"/>
          <w:sz w:val="44"/>
        </w:rPr>
        <w:t>号</w:t>
      </w:r>
    </w:p>
    <w:p w14:paraId="74F116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建议的答复</w:t>
      </w:r>
    </w:p>
    <w:p w14:paraId="36FEA07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</w:pPr>
    </w:p>
    <w:p w14:paraId="2536B4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  <w:lang w:eastAsia="zh-CN"/>
        </w:rPr>
        <w:t>邢永春</w:t>
      </w:r>
      <w:r>
        <w:rPr>
          <w:rFonts w:hint="eastAsia" w:eastAsia="仿宋_GB2312"/>
          <w:spacing w:val="-6"/>
          <w:sz w:val="32"/>
        </w:rPr>
        <w:t>代表：</w:t>
      </w:r>
    </w:p>
    <w:p w14:paraId="47064B4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 xml:space="preserve">    您提出的“关于</w:t>
      </w:r>
      <w:r>
        <w:rPr>
          <w:rFonts w:hint="eastAsia" w:eastAsia="仿宋_GB2312"/>
          <w:spacing w:val="-6"/>
          <w:sz w:val="32"/>
          <w:lang w:eastAsia="zh-CN"/>
        </w:rPr>
        <w:t>加强食品安全监管</w:t>
      </w:r>
      <w:r>
        <w:rPr>
          <w:rFonts w:hint="eastAsia" w:eastAsia="仿宋_GB2312"/>
          <w:spacing w:val="-6"/>
          <w:sz w:val="32"/>
          <w:lang w:val="en-US" w:eastAsia="zh-CN"/>
        </w:rPr>
        <w:t xml:space="preserve"> 保障人民群众健康生活</w:t>
      </w:r>
      <w:r>
        <w:rPr>
          <w:rFonts w:hint="eastAsia" w:eastAsia="仿宋_GB2312"/>
          <w:spacing w:val="-6"/>
          <w:sz w:val="32"/>
        </w:rPr>
        <w:t>的建议”收悉。现答复如下：</w:t>
      </w:r>
    </w:p>
    <w:p w14:paraId="21091AD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spacing w:val="-6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6"/>
          <w:sz w:val="32"/>
          <w:lang w:val="en-US" w:eastAsia="zh-CN"/>
        </w:rPr>
        <w:t>我局高度重视食品安全监管工作，近期以来，我们结合上级部署的各项食品安全治理行动，通过开展日常监督检查、各项专项整治查处违法违规行为、组织食品安全检测等措施，</w:t>
      </w:r>
      <w:r>
        <w:rPr>
          <w:rFonts w:hint="eastAsia" w:ascii="Times New Roman" w:hAnsi="Times New Roman" w:eastAsia="仿宋_GB2312" w:cs="Times New Roman"/>
          <w:spacing w:val="-6"/>
          <w:sz w:val="32"/>
          <w:lang w:eastAsia="zh-CN"/>
        </w:rPr>
        <w:t>持续加强食品安全监管力度，大力提升全区食品安全整体保障水平，有效防范了食品安全风险，确保了全区人民饮食消费安全。主要开展了以下</w:t>
      </w:r>
      <w:r>
        <w:rPr>
          <w:rFonts w:hint="eastAsia" w:ascii="Times New Roman" w:hAnsi="Times New Roman" w:eastAsia="仿宋_GB2312" w:cs="Times New Roman"/>
          <w:spacing w:val="-6"/>
          <w:sz w:val="32"/>
          <w:lang w:val="en-US" w:eastAsia="zh-CN"/>
        </w:rPr>
        <w:t>几个方面的工作：</w:t>
      </w:r>
    </w:p>
    <w:p w14:paraId="65A96F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 w:bidi="ar-SA"/>
        </w:rPr>
        <w:t>一、积极推进食品安全专项治理行动</w:t>
      </w:r>
    </w:p>
    <w:p w14:paraId="359EBAA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16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6"/>
          <w:sz w:val="32"/>
          <w:lang w:val="en-US" w:eastAsia="zh-CN"/>
        </w:rPr>
        <w:t>严格落实“四个最严”要求，结合专项整治、抽样检测、日常监管，加大对农批市场食用农产品监管等重点环节、学校周边食品安全监管等重点领域违法违规行为的打击力度，深入开展校园周边食品安全问题排查、肉制品专项整治、食用植物油风险排查等多项专项整治行动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</w:rPr>
        <w:t>累计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检查食品生产流通单位3500余家次，查处违法违规行为475余起，罚没款349.50余万元，辖区食品生产经营质量安全防线得到持续巩固。</w:t>
      </w:r>
    </w:p>
    <w:p w14:paraId="77AAECE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 w:bidi="ar-SA"/>
        </w:rPr>
        <w:t>二、积极推进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</w:rPr>
        <w:t>食品生产经营单位规范提升</w:t>
      </w:r>
    </w:p>
    <w:p w14:paraId="1ED02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eastAsia="zh-CN"/>
        </w:rPr>
        <w:t>指导企业建立健全食品安全管理制度，结合实际制定食品安全风险防控清单，督促企业按照“一责、两员、三制“要求”落实食品安全主体责任。坚持分类监管抓规范，对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</w:rPr>
        <w:t>全区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/>
        </w:rPr>
        <w:t>400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</w:rPr>
        <w:t>家食品生产企业全部建立信用监管档案并进行风险分类分级，全覆盖监督检查录入率100%；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持续强化企业主体责任，企业食品安全自查率达到100%；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val="en-US" w:eastAsia="zh-CN"/>
        </w:rPr>
        <w:t>319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</w:rPr>
        <w:t>家小作坊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295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家食品摊点全部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落实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备案管理，并督促落实“六项规范”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加强重点区域、重点单位监管，学校周边158家食品流通单位全部签订了食品安全承诺书；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全区3个农批市场全部落实“驻场监管”“扫码追溯”等五项制度，全区6家大中型商超均完成“放心食品超市自我承诺”集中签约；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pacing w:val="-6"/>
          <w:kern w:val="0"/>
          <w:sz w:val="32"/>
          <w:szCs w:val="32"/>
          <w:lang w:val="en-US" w:eastAsia="zh-CN"/>
        </w:rPr>
        <w:t>推动“舌尖上的产业”集群化发展，以龙泉食品产业集中园区为试点，创新打造食品产业示范园区，通过集中培训、个别指导、上门帮扶等方式，切实提高产业集中园区内企业的食品安全规范化水平，以点带面，逐步带动全区食品产业高质量发展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。</w:t>
      </w:r>
    </w:p>
    <w:p w14:paraId="0476AC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color w:val="000000" w:themeColor="text1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pacing w:val="-6"/>
          <w:sz w:val="32"/>
          <w:szCs w:val="32"/>
          <w:lang w:val="en-US" w:eastAsia="zh-CN"/>
        </w:rPr>
        <w:t>三、积极推进食品安全社会共治</w:t>
      </w:r>
    </w:p>
    <w:p w14:paraId="64F86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</w:rPr>
        <w:t>积极开展食品安全教育培训活动，通过线下、线上培训、发放宣传材料等多种形式，开展食品生产企业、小作坊相关法律法规、标准及操作规范等培训，普及食品安全法律法规知识，强化食品安全主体责任，提高生产经营者质量安全意识。全年累计培训食品安全监管人员、生产流通单位企业负责人、食品安全员等各类人员3600余人次，开展食品安全现场宣传活动10余场次，发放各类宣传材料、明白纸7000余份。持续提升人民群众对食品安全工作的知晓率和满意度，形成“人人关注、人人参与”食品安全的良好社会共治氛围。</w:t>
      </w:r>
    </w:p>
    <w:p w14:paraId="1C1D0C23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rPr>
          <w:rFonts w:hint="eastAsia" w:ascii="黑体" w:hAnsi="黑体" w:eastAsia="黑体" w:cs="黑体"/>
          <w:color w:val="000000" w:themeColor="text1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 w:themeColor="text1"/>
          <w:spacing w:val="-6"/>
          <w:kern w:val="2"/>
          <w:sz w:val="32"/>
          <w:szCs w:val="32"/>
          <w:lang w:val="en-US" w:eastAsia="zh-CN" w:bidi="ar-SA"/>
        </w:rPr>
        <w:t>四、是积极发挥食品抽检雷达作用</w:t>
      </w:r>
      <w:bookmarkStart w:id="0" w:name="_Hlk79931491"/>
    </w:p>
    <w:p w14:paraId="7D2C3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center"/>
        <w:outlineLvl w:val="0"/>
        <w:rPr>
          <w:rFonts w:hint="eastAsia" w:ascii="仿宋_GB2312" w:hAnsi="仿宋_GB2312" w:eastAsia="仿宋_GB2312" w:cs="仿宋_GB2312"/>
          <w:color w:val="000000" w:themeColor="text1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</w:t>
      </w:r>
      <w:r>
        <w:rPr>
          <w:rFonts w:hint="eastAsia" w:ascii="仿宋_GB2312" w:hAnsi="仿宋_GB2312" w:eastAsia="仿宋_GB2312" w:cs="仿宋_GB2312"/>
          <w:sz w:val="32"/>
          <w:szCs w:val="32"/>
        </w:rPr>
        <w:t>于2015年设立食品安全专项经费，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用于食品安全检测工作。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自2016年起，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区财政局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每年将食品安全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抽检</w:t>
      </w:r>
      <w:r>
        <w:rPr>
          <w:rFonts w:hint="eastAsia" w:ascii="仿宋_GB2312" w:hAnsi="仿宋_GB2312" w:eastAsia="仿宋_GB2312" w:cs="仿宋_GB2312"/>
          <w:sz w:val="32"/>
          <w:szCs w:val="32"/>
        </w:rPr>
        <w:t>经费列入政府年度支出预算，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食品安全检测项目持续被列入区为民办实事项目。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我局每年根据全区食品抽检计划，合理制定抽检方案，</w:t>
      </w:r>
      <w:r>
        <w:rPr>
          <w:rFonts w:eastAsia="仿宋_GB2312"/>
          <w:sz w:val="32"/>
          <w:szCs w:val="32"/>
        </w:rPr>
        <w:t>对高风险企业和产品实施重点抽检，对问题线索企业实施飞行抽检，对不合格企业实施跟踪抽检。以微生物和重金属污染、农药兽药残留超标、“两超一非”等为重点开展抽检</w:t>
      </w:r>
      <w:r>
        <w:rPr>
          <w:rFonts w:hint="eastAsia" w:eastAsia="仿宋_GB2312"/>
          <w:sz w:val="32"/>
          <w:szCs w:val="32"/>
          <w:lang w:val="en-US" w:eastAsia="zh-CN"/>
        </w:rPr>
        <w:t>检测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积极组织月度抽检及“</w:t>
      </w:r>
      <w:r>
        <w:rPr>
          <w:rFonts w:eastAsia="仿宋_GB2312"/>
          <w:sz w:val="32"/>
          <w:szCs w:val="32"/>
        </w:rPr>
        <w:t>学校食堂及校园周边</w:t>
      </w:r>
      <w:r>
        <w:rPr>
          <w:rFonts w:hint="eastAsia" w:eastAsia="仿宋_GB2312"/>
          <w:sz w:val="32"/>
          <w:szCs w:val="32"/>
          <w:lang w:val="en-US" w:eastAsia="zh-CN"/>
        </w:rPr>
        <w:t>专项抽检”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  <w:lang w:eastAsia="zh-CN"/>
        </w:rPr>
        <w:t>“</w:t>
      </w:r>
      <w:r>
        <w:rPr>
          <w:rFonts w:hint="eastAsia" w:eastAsia="仿宋_GB2312"/>
          <w:sz w:val="32"/>
          <w:szCs w:val="32"/>
          <w:lang w:val="en-US" w:eastAsia="zh-CN"/>
        </w:rPr>
        <w:t>网络专项抽检”“三小</w:t>
      </w:r>
      <w:bookmarkStart w:id="1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食品专项抽检”等各类专项抽检。</w:t>
      </w:r>
      <w:r>
        <w:rPr>
          <w:rFonts w:hint="eastAsia" w:ascii="仿宋_GB2312" w:hAnsi="仿宋_GB2312" w:eastAsia="仿宋_GB2312" w:cs="仿宋_GB2312"/>
          <w:sz w:val="32"/>
          <w:szCs w:val="32"/>
        </w:rPr>
        <w:t>实现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食品抽检</w:t>
      </w:r>
      <w:r>
        <w:rPr>
          <w:rFonts w:hint="eastAsia" w:ascii="仿宋_GB2312" w:hAnsi="仿宋_GB2312" w:eastAsia="仿宋_GB2312" w:cs="仿宋_GB2312"/>
          <w:sz w:val="32"/>
          <w:szCs w:val="32"/>
        </w:rPr>
        <w:t>对重点环节、重点品种、重点区域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全覆盖，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确保食品抽检工作量的稳定和质的提升，提高食品安全风险防控能力，推动食品监管提质增效，有力保障人民群众饮食安全。</w:t>
      </w:r>
    </w:p>
    <w:p w14:paraId="04E5A1A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kern w:val="2"/>
          <w:sz w:val="32"/>
          <w:szCs w:val="24"/>
          <w:lang w:val="en-US" w:eastAsia="zh-CN" w:bidi="ar-SA"/>
        </w:rPr>
        <w:t>2024年，完成食品定性定量检测3184批次，快速检测2.5万批次，合格率达99.1%。2025年截至目前，已完成食品定性定量检测586批次，快速检测6791批次。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</w:rPr>
        <w:t>通过开展靶向式抽检，及时查找了风险隐患，有效净化了重点领域的食安环境。</w:t>
      </w:r>
    </w:p>
    <w:bookmarkEnd w:id="1"/>
    <w:p w14:paraId="15C14A9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楷体" w:eastAsia="仿宋_GB2312" w:cs="仿宋_GB2312"/>
          <w:bCs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为了提高群众在食品安全监管中的参与感，充分调动群众参与食品安全监管的积极性，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我局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将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你点我检 服务惠民生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活动纳入日常，打造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点惠墨城 检护食安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品牌，在人流量大的商场、超市、学校等重点场所，常态化开展形式多样活动。充分利用总局国抽系</w:t>
      </w:r>
      <w:r>
        <w:rPr>
          <w:rFonts w:hint="eastAsia" w:ascii="仿宋_GB2312" w:hAnsi="仿宋_GB2312" w:eastAsia="仿宋_GB2312" w:cs="仿宋_GB2312"/>
          <w:spacing w:val="-6"/>
          <w:kern w:val="2"/>
          <w:sz w:val="32"/>
          <w:szCs w:val="24"/>
          <w:lang w:val="en-US" w:eastAsia="zh-CN" w:bidi="ar-SA"/>
        </w:rPr>
        <w:t>统食品安全“你点我检 服务惠民生”意见征集系统发布“你点我检”调查问卷，让老百姓365天、24小时随时可以点选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关注的视频。简化群众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“点”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的程序、细化问卷的内容，方便群众点检和结果查询，让群众多便利、少跑腿。</w:t>
      </w:r>
    </w:p>
    <w:p w14:paraId="6F9A8F8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楷体" w:eastAsia="仿宋_GB2312" w:cs="仿宋_GB2312"/>
          <w:bCs/>
          <w:color w:val="000000" w:themeColor="text1"/>
          <w:sz w:val="32"/>
          <w:szCs w:val="32"/>
          <w:lang w:val="en-US" w:eastAsia="zh-CN"/>
        </w:rPr>
        <w:t>下一步，我们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聚焦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“食安即墨”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建设目标，遵循落实食品安全</w:t>
      </w:r>
      <w:r>
        <w:rPr>
          <w:rFonts w:hint="eastAsia" w:eastAsia="仿宋_GB2312" w:cs="Times New Roman"/>
          <w:spacing w:val="-6"/>
          <w:kern w:val="2"/>
          <w:sz w:val="32"/>
          <w:szCs w:val="24"/>
          <w:lang w:val="en-US" w:eastAsia="zh-CN" w:bidi="ar-SA"/>
        </w:rPr>
        <w:t>“两个责任”</w:t>
      </w:r>
      <w:r>
        <w:rPr>
          <w:rFonts w:hint="eastAsia" w:ascii="Times New Roman" w:hAnsi="Times New Roman" w:eastAsia="仿宋_GB2312" w:cs="Times New Roman"/>
          <w:spacing w:val="-6"/>
          <w:kern w:val="2"/>
          <w:sz w:val="32"/>
          <w:szCs w:val="24"/>
          <w:lang w:val="en-US" w:eastAsia="zh-CN" w:bidi="ar-SA"/>
        </w:rPr>
        <w:t>工作主线，强化问题导向，持续加强重点领域监管，严防、严管、严控食品安全风险，努力打造群众满意、社会认可的食安环境。</w:t>
      </w:r>
    </w:p>
    <w:p w14:paraId="34CA143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hint="eastAsia"/>
          <w:lang w:val="en-US" w:eastAsia="zh-CN"/>
        </w:rPr>
      </w:pPr>
    </w:p>
    <w:p w14:paraId="7D6077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eastAsia="仿宋_GB2312"/>
          <w:b/>
          <w:spacing w:val="-6"/>
          <w:sz w:val="32"/>
        </w:rPr>
      </w:pPr>
    </w:p>
    <w:p w14:paraId="174398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eastAsia="仿宋_GB2312"/>
          <w:b/>
          <w:spacing w:val="-6"/>
          <w:sz w:val="32"/>
        </w:rPr>
      </w:pPr>
    </w:p>
    <w:p w14:paraId="18CCD6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eastAsia="仿宋_GB2312"/>
          <w:b/>
          <w:spacing w:val="-6"/>
          <w:sz w:val="32"/>
        </w:rPr>
      </w:pPr>
    </w:p>
    <w:p w14:paraId="4F8983C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5876" w:hanging="5876" w:hangingChars="1900"/>
        <w:jc w:val="left"/>
        <w:rPr>
          <w:rFonts w:hint="eastAsia" w:eastAsia="仿宋_GB2312"/>
          <w:spacing w:val="-6"/>
          <w:sz w:val="32"/>
        </w:rPr>
      </w:pPr>
      <w:r>
        <w:rPr>
          <w:rFonts w:hint="eastAsia" w:eastAsia="仿宋_GB2312"/>
          <w:b/>
          <w:spacing w:val="-6"/>
          <w:sz w:val="32"/>
        </w:rPr>
        <w:t xml:space="preserve">                                </w:t>
      </w:r>
      <w:r>
        <w:rPr>
          <w:rFonts w:hint="eastAsia" w:eastAsia="仿宋_GB2312"/>
          <w:spacing w:val="-6"/>
          <w:sz w:val="32"/>
          <w:lang w:val="en-US" w:eastAsia="zh-CN"/>
        </w:rPr>
        <w:t>青岛市即墨区市场监督管理局</w:t>
      </w:r>
      <w:r>
        <w:rPr>
          <w:rFonts w:hint="eastAsia" w:eastAsia="仿宋_GB2312"/>
          <w:spacing w:val="-6"/>
          <w:sz w:val="32"/>
        </w:rPr>
        <w:t xml:space="preserve">               </w:t>
      </w:r>
    </w:p>
    <w:p w14:paraId="0A3255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544" w:firstLineChars="1800"/>
        <w:jc w:val="left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pacing w:val="-6"/>
          <w:sz w:val="32"/>
        </w:rPr>
        <w:t>年</w:t>
      </w:r>
      <w:r>
        <w:rPr>
          <w:rFonts w:hint="eastAsia" w:ascii="仿宋_GB2312" w:hAnsi="仿宋_GB2312" w:eastAsia="仿宋_GB2312" w:cs="仿宋_GB2312"/>
          <w:spacing w:val="-6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6"/>
          <w:sz w:val="32"/>
        </w:rPr>
        <w:t>月</w:t>
      </w:r>
      <w:r>
        <w:rPr>
          <w:rFonts w:hint="eastAsia" w:ascii="仿宋_GB2312" w:hAnsi="仿宋_GB2312" w:eastAsia="仿宋_GB2312" w:cs="仿宋_GB2312"/>
          <w:spacing w:val="-6"/>
          <w:sz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pacing w:val="-6"/>
          <w:sz w:val="32"/>
        </w:rPr>
        <w:t>日</w:t>
      </w:r>
    </w:p>
    <w:p w14:paraId="63C2D5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spacing w:val="-6"/>
        </w:rPr>
      </w:pPr>
    </w:p>
    <w:p w14:paraId="3E2529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spacing w:val="-6"/>
          <w:sz w:val="32"/>
        </w:rPr>
      </w:pPr>
    </w:p>
    <w:p w14:paraId="3B777DA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签发领导：</w:t>
      </w:r>
    </w:p>
    <w:p w14:paraId="1B5CE1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hint="eastAsia" w:ascii="仿宋_GB2312" w:hAnsi="仿宋_GB2312" w:eastAsia="仿宋_GB2312" w:cs="仿宋_GB2312"/>
          <w:spacing w:val="-6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</w:rPr>
        <w:t>承办人及电话：</w:t>
      </w:r>
      <w:r>
        <w:rPr>
          <w:rFonts w:hint="eastAsia" w:ascii="仿宋_GB2312" w:hAnsi="仿宋_GB2312" w:eastAsia="仿宋_GB2312" w:cs="仿宋_GB2312"/>
          <w:spacing w:val="-6"/>
          <w:lang w:eastAsia="zh-CN"/>
        </w:rPr>
        <w:t>杨秋芬</w:t>
      </w:r>
      <w:r>
        <w:rPr>
          <w:rFonts w:hint="eastAsia" w:ascii="仿宋_GB2312" w:hAnsi="仿宋_GB2312" w:eastAsia="仿宋_GB2312" w:cs="仿宋_GB2312"/>
          <w:spacing w:val="-6"/>
          <w:lang w:val="en-US" w:eastAsia="zh-CN"/>
        </w:rPr>
        <w:t xml:space="preserve"> 87567871</w:t>
      </w:r>
    </w:p>
    <w:p w14:paraId="3434DD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rPr>
          <w:rFonts w:eastAsia="仿宋_GB2312"/>
          <w:spacing w:val="-6"/>
        </w:rPr>
      </w:pPr>
      <w:r>
        <w:rPr>
          <w:rFonts w:hint="eastAsia" w:eastAsia="仿宋_GB2312"/>
          <w:spacing w:val="-6"/>
          <w:szCs w:val="24"/>
        </w:rPr>
        <w:t>抄送：区政府督查室</w:t>
      </w:r>
      <w:r>
        <w:rPr>
          <w:rFonts w:hint="eastAsia" w:eastAsia="仿宋_GB2312"/>
          <w:spacing w:val="-6"/>
        </w:rPr>
        <w:t>（有协办单位的同时抄送协办单位）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E5NTA5Y2M1NTAxNmMxODQ1N2NmMTdmZjliOWUyOTMifQ=="/>
  </w:docVars>
  <w:rsids>
    <w:rsidRoot w:val="004423A9"/>
    <w:rsid w:val="00022C18"/>
    <w:rsid w:val="00047F2F"/>
    <w:rsid w:val="0006604D"/>
    <w:rsid w:val="0009738F"/>
    <w:rsid w:val="000A3F11"/>
    <w:rsid w:val="000C040A"/>
    <w:rsid w:val="000D0EE3"/>
    <w:rsid w:val="000D31EC"/>
    <w:rsid w:val="000F6CCC"/>
    <w:rsid w:val="00107F1D"/>
    <w:rsid w:val="00113E09"/>
    <w:rsid w:val="00164F5A"/>
    <w:rsid w:val="00177171"/>
    <w:rsid w:val="00181A04"/>
    <w:rsid w:val="00186384"/>
    <w:rsid w:val="001C5C8C"/>
    <w:rsid w:val="001D0C2C"/>
    <w:rsid w:val="00211E2F"/>
    <w:rsid w:val="00223021"/>
    <w:rsid w:val="00226024"/>
    <w:rsid w:val="00237030"/>
    <w:rsid w:val="00247669"/>
    <w:rsid w:val="00250C9E"/>
    <w:rsid w:val="00256381"/>
    <w:rsid w:val="002619FA"/>
    <w:rsid w:val="002621F2"/>
    <w:rsid w:val="002745C9"/>
    <w:rsid w:val="002766B6"/>
    <w:rsid w:val="00293295"/>
    <w:rsid w:val="002D542E"/>
    <w:rsid w:val="00313713"/>
    <w:rsid w:val="0032006F"/>
    <w:rsid w:val="003459F7"/>
    <w:rsid w:val="00353F3C"/>
    <w:rsid w:val="00363ACB"/>
    <w:rsid w:val="00371B2E"/>
    <w:rsid w:val="003754EA"/>
    <w:rsid w:val="003909EF"/>
    <w:rsid w:val="00395DC4"/>
    <w:rsid w:val="003A4FEB"/>
    <w:rsid w:val="003B35CD"/>
    <w:rsid w:val="003C519F"/>
    <w:rsid w:val="003E2C8C"/>
    <w:rsid w:val="003F66FC"/>
    <w:rsid w:val="0042339E"/>
    <w:rsid w:val="004421ED"/>
    <w:rsid w:val="004423A9"/>
    <w:rsid w:val="004478EE"/>
    <w:rsid w:val="00466B4B"/>
    <w:rsid w:val="00477049"/>
    <w:rsid w:val="00482187"/>
    <w:rsid w:val="004A12F1"/>
    <w:rsid w:val="004C1CBB"/>
    <w:rsid w:val="004D56D0"/>
    <w:rsid w:val="004E6912"/>
    <w:rsid w:val="004F065B"/>
    <w:rsid w:val="004F3AD5"/>
    <w:rsid w:val="005667E2"/>
    <w:rsid w:val="0057320B"/>
    <w:rsid w:val="00581945"/>
    <w:rsid w:val="0059356E"/>
    <w:rsid w:val="00593B27"/>
    <w:rsid w:val="00594221"/>
    <w:rsid w:val="005A1080"/>
    <w:rsid w:val="005B162D"/>
    <w:rsid w:val="005D7552"/>
    <w:rsid w:val="005E77DE"/>
    <w:rsid w:val="005F12FA"/>
    <w:rsid w:val="005F605B"/>
    <w:rsid w:val="00602E57"/>
    <w:rsid w:val="00605E52"/>
    <w:rsid w:val="00610F20"/>
    <w:rsid w:val="00634865"/>
    <w:rsid w:val="00665135"/>
    <w:rsid w:val="00673C42"/>
    <w:rsid w:val="006A3AA5"/>
    <w:rsid w:val="006A75F5"/>
    <w:rsid w:val="006F238B"/>
    <w:rsid w:val="006F34F8"/>
    <w:rsid w:val="00705E05"/>
    <w:rsid w:val="0071316E"/>
    <w:rsid w:val="00733F49"/>
    <w:rsid w:val="0076292E"/>
    <w:rsid w:val="007649BD"/>
    <w:rsid w:val="007B7B42"/>
    <w:rsid w:val="007E5109"/>
    <w:rsid w:val="007F7DDB"/>
    <w:rsid w:val="0080713E"/>
    <w:rsid w:val="008413D7"/>
    <w:rsid w:val="0084358B"/>
    <w:rsid w:val="0084773B"/>
    <w:rsid w:val="0085773C"/>
    <w:rsid w:val="00870DB0"/>
    <w:rsid w:val="00897C34"/>
    <w:rsid w:val="00897E99"/>
    <w:rsid w:val="00907258"/>
    <w:rsid w:val="0091417B"/>
    <w:rsid w:val="00920533"/>
    <w:rsid w:val="00927B7C"/>
    <w:rsid w:val="009508A3"/>
    <w:rsid w:val="0098006F"/>
    <w:rsid w:val="00986044"/>
    <w:rsid w:val="0099071A"/>
    <w:rsid w:val="00990F09"/>
    <w:rsid w:val="009937FE"/>
    <w:rsid w:val="0099704B"/>
    <w:rsid w:val="009E0F3C"/>
    <w:rsid w:val="00A324DA"/>
    <w:rsid w:val="00A436BD"/>
    <w:rsid w:val="00A47018"/>
    <w:rsid w:val="00A56F3E"/>
    <w:rsid w:val="00A57F1B"/>
    <w:rsid w:val="00A77C6C"/>
    <w:rsid w:val="00AC233F"/>
    <w:rsid w:val="00AC2D3E"/>
    <w:rsid w:val="00B017E9"/>
    <w:rsid w:val="00B02756"/>
    <w:rsid w:val="00B225E5"/>
    <w:rsid w:val="00B35F1E"/>
    <w:rsid w:val="00B77D6A"/>
    <w:rsid w:val="00B852F8"/>
    <w:rsid w:val="00BA008C"/>
    <w:rsid w:val="00BA19C9"/>
    <w:rsid w:val="00BB4A34"/>
    <w:rsid w:val="00BD3CAA"/>
    <w:rsid w:val="00BE273A"/>
    <w:rsid w:val="00BE3796"/>
    <w:rsid w:val="00BF68A1"/>
    <w:rsid w:val="00C051E8"/>
    <w:rsid w:val="00C0769B"/>
    <w:rsid w:val="00C24DBE"/>
    <w:rsid w:val="00C2569B"/>
    <w:rsid w:val="00C26119"/>
    <w:rsid w:val="00C54744"/>
    <w:rsid w:val="00C57280"/>
    <w:rsid w:val="00C91D99"/>
    <w:rsid w:val="00CB01CC"/>
    <w:rsid w:val="00CC59CA"/>
    <w:rsid w:val="00CD1F29"/>
    <w:rsid w:val="00CD2490"/>
    <w:rsid w:val="00D1075C"/>
    <w:rsid w:val="00D1787F"/>
    <w:rsid w:val="00D21466"/>
    <w:rsid w:val="00D32287"/>
    <w:rsid w:val="00D57C00"/>
    <w:rsid w:val="00D7029A"/>
    <w:rsid w:val="00D90B50"/>
    <w:rsid w:val="00D90EF5"/>
    <w:rsid w:val="00DC654A"/>
    <w:rsid w:val="00DE4373"/>
    <w:rsid w:val="00E014EB"/>
    <w:rsid w:val="00E20AAC"/>
    <w:rsid w:val="00E236A3"/>
    <w:rsid w:val="00E27CBD"/>
    <w:rsid w:val="00E36A07"/>
    <w:rsid w:val="00E40707"/>
    <w:rsid w:val="00E474BA"/>
    <w:rsid w:val="00E61D5E"/>
    <w:rsid w:val="00E70E36"/>
    <w:rsid w:val="00E7397E"/>
    <w:rsid w:val="00E94B62"/>
    <w:rsid w:val="00E961F2"/>
    <w:rsid w:val="00EA0A12"/>
    <w:rsid w:val="00EB2722"/>
    <w:rsid w:val="00F0504F"/>
    <w:rsid w:val="00F0715D"/>
    <w:rsid w:val="00F3673C"/>
    <w:rsid w:val="00F4345A"/>
    <w:rsid w:val="00F7195E"/>
    <w:rsid w:val="00F71F6F"/>
    <w:rsid w:val="00F94CDB"/>
    <w:rsid w:val="00FB79CE"/>
    <w:rsid w:val="00FD0594"/>
    <w:rsid w:val="00FE5E0E"/>
    <w:rsid w:val="0A3B59B5"/>
    <w:rsid w:val="0B74458E"/>
    <w:rsid w:val="14E45199"/>
    <w:rsid w:val="15C21309"/>
    <w:rsid w:val="18BC5F12"/>
    <w:rsid w:val="19006747"/>
    <w:rsid w:val="1C694603"/>
    <w:rsid w:val="1E6C2189"/>
    <w:rsid w:val="21A91399"/>
    <w:rsid w:val="27647521"/>
    <w:rsid w:val="28FE60D3"/>
    <w:rsid w:val="2E9574DA"/>
    <w:rsid w:val="2EBC0352"/>
    <w:rsid w:val="32527DCF"/>
    <w:rsid w:val="34D93801"/>
    <w:rsid w:val="3C8E0AF7"/>
    <w:rsid w:val="3E712BCE"/>
    <w:rsid w:val="4E373B09"/>
    <w:rsid w:val="60D9003D"/>
    <w:rsid w:val="610E5C99"/>
    <w:rsid w:val="6632293D"/>
    <w:rsid w:val="682B491B"/>
    <w:rsid w:val="68CF31CA"/>
    <w:rsid w:val="72D4368C"/>
    <w:rsid w:val="75722AC6"/>
    <w:rsid w:val="758962F1"/>
    <w:rsid w:val="776963DA"/>
    <w:rsid w:val="7B61747A"/>
    <w:rsid w:val="7F1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after="404"/>
      <w:ind w:right="29"/>
      <w:jc w:val="right"/>
      <w:outlineLvl w:val="1"/>
    </w:pPr>
    <w:rPr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semiHidden/>
    <w:qFormat/>
    <w:uiPriority w:val="0"/>
    <w:rPr>
      <w:sz w:val="32"/>
      <w:szCs w:val="20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99"/>
  </w:style>
  <w:style w:type="paragraph" w:styleId="7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 w:cs="Times New Roman"/>
      <w:sz w:val="21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11">
    <w:name w:val="日期 Char"/>
    <w:basedOn w:val="9"/>
    <w:link w:val="3"/>
    <w:semiHidden/>
    <w:qFormat/>
    <w:uiPriority w:val="0"/>
    <w:rPr>
      <w:rFonts w:ascii="Times New Roman" w:hAnsi="Times New Roman" w:eastAsia="宋体" w:cs="Times New Roman"/>
      <w:sz w:val="32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报告正文"/>
    <w:basedOn w:val="1"/>
    <w:next w:val="1"/>
    <w:qFormat/>
    <w:uiPriority w:val="0"/>
    <w:rPr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1385</Words>
  <Characters>1445</Characters>
  <Lines>25</Lines>
  <Paragraphs>7</Paragraphs>
  <TotalTime>22</TotalTime>
  <ScaleCrop>false</ScaleCrop>
  <LinksUpToDate>false</LinksUpToDate>
  <CharactersWithSpaces>1572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2019-03-20T04:39:00Z</dcterms:created>
  <dc:creator>牛</dc:creator>
  <cp:lastModifiedBy>Administrator</cp:lastModifiedBy>
  <cp:lastPrinted>2025-03-19T07:06:00Z</cp:lastPrinted>
  <dcterms:modified xsi:type="dcterms:W3CDTF">2025-03-24T03:18:53Z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KSOTemplateDocerSaveRecord">
    <vt:lpwstr>eyJoZGlkIjoiNmUxNGQwM2I2NDgwZTk5YjFlODAyMDc0OGI2ZGI0MjkifQ==</vt:lpwstr>
  </property>
  <property fmtid="{D5CDD505-2E9C-101B-9397-08002B2CF9AE}" pid="4" name="ICV">
    <vt:lpwstr>F383D133ADBE47BAB4482C5207C1DA32_12</vt:lpwstr>
  </property>
</Properties>
</file>