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321FB0EE">
      <w:pPr>
        <w:keepNext w:val="0"/>
        <w:keepLines w:val="0"/>
        <w:pageBreakBefore w:val="0"/>
        <w:kinsoku/>
        <w:overflowPunct/>
        <w:topLinePunct w:val="0"/>
        <w:autoSpaceDE/>
        <w:autoSpaceDN/>
        <w:bidi w:val="0"/>
        <w:spacing w:line="560" w:lineRule="exact"/>
        <w:ind w:firstLine="3360" w:firstLineChars="1200"/>
        <w:textAlignment w:val="auto"/>
        <w:rPr>
          <w:rFonts w:ascii="黑体" w:eastAsia="黑体"/>
          <w:sz w:val="28"/>
        </w:rPr>
      </w:pPr>
      <w:r>
        <w:rPr>
          <w:rFonts w:hint="eastAsia" w:ascii="黑体" w:eastAsia="黑体"/>
          <w:sz w:val="28"/>
        </w:rPr>
        <w:t xml:space="preserve">     </w:t>
      </w:r>
      <w:r>
        <w:rPr>
          <w:rFonts w:hint="eastAsia" w:ascii="黑体" w:eastAsia="黑体"/>
          <w:sz w:val="28"/>
          <w:lang w:val="en-US" w:eastAsia="zh-CN"/>
        </w:rPr>
        <w:t xml:space="preserve">                 </w:t>
      </w:r>
      <w:r>
        <w:rPr>
          <w:rFonts w:hint="eastAsia" w:ascii="黑体" w:eastAsia="黑体"/>
          <w:sz w:val="28"/>
        </w:rPr>
        <w:t xml:space="preserve"> 标记：</w:t>
      </w:r>
      <w:r>
        <w:rPr>
          <w:rFonts w:hint="eastAsia" w:ascii="黑体" w:eastAsia="黑体"/>
          <w:spacing w:val="-4"/>
          <w:sz w:val="28"/>
        </w:rPr>
        <w:t>A</w:t>
      </w:r>
    </w:p>
    <w:p w14:paraId="0FF2D14B">
      <w:pPr>
        <w:keepNext w:val="0"/>
        <w:keepLines w:val="0"/>
        <w:pageBreakBefore w:val="0"/>
        <w:kinsoku/>
        <w:overflowPunct/>
        <w:topLinePunct w:val="0"/>
        <w:autoSpaceDE/>
        <w:autoSpaceDN/>
        <w:bidi w:val="0"/>
        <w:spacing w:line="560" w:lineRule="exact"/>
        <w:jc w:val="center"/>
        <w:textAlignment w:val="auto"/>
        <w:rPr>
          <w:rFonts w:ascii="宋体" w:hAnsi="宋体"/>
          <w:spacing w:val="-10"/>
          <w:sz w:val="44"/>
        </w:rPr>
      </w:pPr>
    </w:p>
    <w:p w14:paraId="0EDEAC28">
      <w:pPr>
        <w:keepNext w:val="0"/>
        <w:keepLines w:val="0"/>
        <w:pageBreakBefore w:val="0"/>
        <w:kinsoku/>
        <w:overflowPunct/>
        <w:topLinePunct w:val="0"/>
        <w:autoSpaceDE/>
        <w:autoSpaceDN/>
        <w:bidi w:val="0"/>
        <w:spacing w:line="560" w:lineRule="exact"/>
        <w:jc w:val="center"/>
        <w:textAlignment w:val="auto"/>
        <w:rPr>
          <w:rFonts w:ascii="方正小标宋_GBK" w:hAnsi="宋体" w:eastAsia="方正小标宋_GBK"/>
          <w:spacing w:val="-10"/>
          <w:sz w:val="44"/>
        </w:rPr>
      </w:pPr>
      <w:r>
        <w:rPr>
          <w:rFonts w:hint="eastAsia" w:ascii="方正小标宋_GBK" w:hAnsi="宋体" w:eastAsia="方正小标宋_GBK"/>
          <w:spacing w:val="-10"/>
          <w:sz w:val="44"/>
          <w:lang w:eastAsia="zh-CN"/>
        </w:rPr>
        <w:t>青岛市</w:t>
      </w:r>
      <w:r>
        <w:rPr>
          <w:rFonts w:hint="eastAsia" w:ascii="方正小标宋_GBK" w:hAnsi="宋体" w:eastAsia="方正小标宋_GBK"/>
          <w:spacing w:val="-10"/>
          <w:sz w:val="44"/>
        </w:rPr>
        <w:t>即墨区</w:t>
      </w:r>
      <w:r>
        <w:rPr>
          <w:rFonts w:hint="eastAsia" w:ascii="方正小标宋_GBK" w:hAnsi="宋体" w:eastAsia="方正小标宋_GBK"/>
          <w:spacing w:val="-10"/>
          <w:sz w:val="44"/>
          <w:lang w:eastAsia="zh-CN"/>
        </w:rPr>
        <w:t>市场监督管理局</w:t>
      </w:r>
    </w:p>
    <w:p w14:paraId="53BA63FA">
      <w:pPr>
        <w:keepNext w:val="0"/>
        <w:keepLines w:val="0"/>
        <w:pageBreakBefore w:val="0"/>
        <w:kinsoku/>
        <w:overflowPunct/>
        <w:topLinePunct w:val="0"/>
        <w:autoSpaceDE/>
        <w:autoSpaceDN/>
        <w:bidi w:val="0"/>
        <w:spacing w:line="560" w:lineRule="exact"/>
        <w:jc w:val="center"/>
        <w:textAlignment w:val="auto"/>
        <w:rPr>
          <w:rFonts w:hint="eastAsia" w:ascii="方正小标宋_GBK" w:hAnsi="宋体" w:eastAsia="方正小标宋_GBK"/>
          <w:spacing w:val="-10"/>
          <w:sz w:val="44"/>
        </w:rPr>
      </w:pPr>
      <w:r>
        <w:rPr>
          <w:rFonts w:hint="eastAsia" w:ascii="方正小标宋_GBK" w:hAnsi="宋体" w:eastAsia="方正小标宋_GBK"/>
          <w:spacing w:val="-10"/>
          <w:sz w:val="44"/>
        </w:rPr>
        <w:t>关于对区</w:t>
      </w:r>
      <w:r>
        <w:rPr>
          <w:rFonts w:hint="eastAsia" w:ascii="方正小标宋_GBK" w:hAnsi="宋体" w:eastAsia="方正小标宋_GBK"/>
          <w:spacing w:val="-10"/>
          <w:sz w:val="44"/>
          <w:lang w:eastAsia="zh-CN"/>
        </w:rPr>
        <w:t>十九</w:t>
      </w:r>
      <w:r>
        <w:rPr>
          <w:rFonts w:hint="eastAsia" w:ascii="方正小标宋_GBK" w:hAnsi="宋体" w:eastAsia="方正小标宋_GBK"/>
          <w:spacing w:val="-10"/>
          <w:sz w:val="44"/>
        </w:rPr>
        <w:t>届人大</w:t>
      </w:r>
      <w:r>
        <w:rPr>
          <w:rFonts w:hint="eastAsia" w:ascii="方正小标宋_GBK" w:hAnsi="宋体" w:eastAsia="方正小标宋_GBK"/>
          <w:spacing w:val="-10"/>
          <w:sz w:val="44"/>
          <w:lang w:eastAsia="zh-CN"/>
        </w:rPr>
        <w:t>四次会议</w:t>
      </w:r>
      <w:r>
        <w:rPr>
          <w:rFonts w:hint="eastAsia" w:ascii="方正小标宋_GBK" w:hAnsi="宋体" w:eastAsia="方正小标宋_GBK"/>
          <w:spacing w:val="-10"/>
          <w:sz w:val="44"/>
        </w:rPr>
        <w:t>第</w:t>
      </w:r>
      <w:r>
        <w:rPr>
          <w:rFonts w:hint="eastAsia" w:ascii="方正小标宋_GBK" w:hAnsi="宋体" w:eastAsia="方正小标宋_GBK"/>
          <w:spacing w:val="-10"/>
          <w:sz w:val="44"/>
          <w:lang w:val="en-US" w:eastAsia="zh-CN"/>
        </w:rPr>
        <w:t>31</w:t>
      </w:r>
      <w:r>
        <w:rPr>
          <w:rFonts w:hint="eastAsia" w:ascii="方正小标宋_GBK" w:hAnsi="宋体" w:eastAsia="方正小标宋_GBK"/>
          <w:spacing w:val="-10"/>
          <w:sz w:val="44"/>
        </w:rPr>
        <w:t>号</w:t>
      </w:r>
    </w:p>
    <w:p w14:paraId="653815E7">
      <w:pPr>
        <w:keepNext w:val="0"/>
        <w:keepLines w:val="0"/>
        <w:pageBreakBefore w:val="0"/>
        <w:kinsoku/>
        <w:overflowPunct/>
        <w:topLinePunct w:val="0"/>
        <w:autoSpaceDE/>
        <w:autoSpaceDN/>
        <w:bidi w:val="0"/>
        <w:spacing w:line="560" w:lineRule="exact"/>
        <w:jc w:val="center"/>
        <w:textAlignment w:val="auto"/>
        <w:rPr>
          <w:rFonts w:ascii="方正小标宋_GBK" w:hAnsi="宋体" w:eastAsia="方正小标宋_GBK"/>
          <w:spacing w:val="-10"/>
          <w:sz w:val="44"/>
        </w:rPr>
      </w:pPr>
      <w:r>
        <w:rPr>
          <w:rFonts w:hint="eastAsia" w:ascii="方正小标宋_GBK" w:hAnsi="宋体" w:eastAsia="方正小标宋_GBK"/>
          <w:spacing w:val="-10"/>
          <w:sz w:val="44"/>
        </w:rPr>
        <w:t>建议的答复</w:t>
      </w:r>
    </w:p>
    <w:p w14:paraId="5BC8314B">
      <w:pPr>
        <w:keepNext w:val="0"/>
        <w:keepLines w:val="0"/>
        <w:pageBreakBefore w:val="0"/>
        <w:kinsoku/>
        <w:overflowPunct/>
        <w:topLinePunct w:val="0"/>
        <w:autoSpaceDE/>
        <w:autoSpaceDN/>
        <w:bidi w:val="0"/>
        <w:spacing w:line="560" w:lineRule="exact"/>
        <w:textAlignment w:val="auto"/>
      </w:pPr>
    </w:p>
    <w:p w14:paraId="507E1C43">
      <w:pPr>
        <w:keepNext w:val="0"/>
        <w:keepLines w:val="0"/>
        <w:pageBreakBefore w:val="0"/>
        <w:kinsoku/>
        <w:wordWrap/>
        <w:overflowPunct/>
        <w:topLinePunct w:val="0"/>
        <w:autoSpaceDE/>
        <w:autoSpaceDN/>
        <w:bidi w:val="0"/>
        <w:adjustRightInd/>
        <w:snapToGrid/>
        <w:spacing w:beforeAutospacing="0" w:afterAutospacing="0" w:line="560" w:lineRule="exact"/>
        <w:ind w:left="0" w:leftChars="0" w:right="0" w:rightChars="0"/>
        <w:textAlignment w:val="auto"/>
        <w:rPr>
          <w:rFonts w:eastAsia="仿宋_GB2312"/>
          <w:spacing w:val="-6"/>
          <w:sz w:val="32"/>
        </w:rPr>
      </w:pPr>
      <w:r>
        <w:rPr>
          <w:rFonts w:hint="default" w:eastAsia="仿宋_GB2312"/>
          <w:spacing w:val="-6"/>
          <w:sz w:val="32"/>
          <w:lang w:val="en-US" w:eastAsia="zh-CN"/>
        </w:rPr>
        <w:t>隋祁擘</w:t>
      </w:r>
      <w:r>
        <w:rPr>
          <w:rFonts w:hint="eastAsia" w:eastAsia="仿宋_GB2312"/>
          <w:spacing w:val="-6"/>
          <w:sz w:val="32"/>
        </w:rPr>
        <w:t>代表：</w:t>
      </w:r>
    </w:p>
    <w:p w14:paraId="0DA3CBA6">
      <w:pPr>
        <w:keepNext w:val="0"/>
        <w:keepLines w:val="0"/>
        <w:pageBreakBefore w:val="0"/>
        <w:kinsoku/>
        <w:wordWrap/>
        <w:overflowPunct/>
        <w:topLinePunct w:val="0"/>
        <w:autoSpaceDE/>
        <w:autoSpaceDN/>
        <w:bidi w:val="0"/>
        <w:adjustRightInd/>
        <w:snapToGrid/>
        <w:spacing w:beforeAutospacing="0" w:afterAutospacing="0" w:line="560" w:lineRule="exact"/>
        <w:ind w:left="0" w:leftChars="0" w:right="0" w:rightChars="0" w:firstLine="616" w:firstLineChars="200"/>
        <w:textAlignment w:val="auto"/>
        <w:rPr>
          <w:rFonts w:hint="eastAsia" w:eastAsia="仿宋_GB2312"/>
          <w:spacing w:val="-6"/>
          <w:sz w:val="32"/>
        </w:rPr>
      </w:pPr>
      <w:r>
        <w:rPr>
          <w:rFonts w:hint="eastAsia" w:eastAsia="仿宋_GB2312"/>
          <w:spacing w:val="-6"/>
          <w:sz w:val="32"/>
        </w:rPr>
        <w:t>您提出的“关于建立第三方专业机构常态化评估、指导校园食品安全机制的建议”收悉。现答复如下：</w:t>
      </w:r>
    </w:p>
    <w:p w14:paraId="5F110ECD">
      <w:pPr>
        <w:keepNext w:val="0"/>
        <w:keepLines w:val="0"/>
        <w:pageBreakBefore w:val="0"/>
        <w:kinsoku/>
        <w:wordWrap/>
        <w:overflowPunct/>
        <w:topLinePunct w:val="0"/>
        <w:autoSpaceDE/>
        <w:autoSpaceDN/>
        <w:bidi w:val="0"/>
        <w:adjustRightInd/>
        <w:snapToGrid/>
        <w:spacing w:beforeAutospacing="0" w:afterAutospacing="0" w:line="560" w:lineRule="exact"/>
        <w:ind w:left="0" w:leftChars="0" w:right="0" w:righ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区市场监管局高度重视学校食品安全，</w:t>
      </w:r>
      <w:r>
        <w:rPr>
          <w:rFonts w:hint="eastAsia" w:ascii="仿宋_GB2312" w:hAnsi="仿宋_GB2312" w:eastAsia="仿宋_GB2312" w:cs="仿宋_GB2312"/>
          <w:sz w:val="32"/>
          <w:szCs w:val="32"/>
        </w:rPr>
        <w:t>紧盯群众反应的突出问题，狠抓工作落实，进一步消除校园食品安全风险隐患，切实预防安全事件发生，保障师生安全健康。</w:t>
      </w:r>
    </w:p>
    <w:p w14:paraId="050EDCC0">
      <w:pPr>
        <w:pStyle w:val="2"/>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left="0" w:leftChars="0" w:right="0" w:rightChars="0" w:firstLine="640" w:firstLineChars="200"/>
        <w:jc w:val="left"/>
        <w:textAlignment w:val="auto"/>
        <w:outlineLvl w:val="1"/>
        <w:rPr>
          <w:rFonts w:hint="eastAsia" w:ascii="黑体" w:hAnsi="黑体" w:eastAsia="黑体" w:cs="黑体"/>
          <w:b w:val="0"/>
          <w:bCs/>
          <w:sz w:val="32"/>
          <w:szCs w:val="32"/>
          <w:lang w:val="en-US" w:eastAsia="zh-CN"/>
        </w:rPr>
      </w:pPr>
      <w:r>
        <w:rPr>
          <w:rFonts w:hint="eastAsia" w:ascii="黑体" w:hAnsi="黑体" w:eastAsia="黑体" w:cs="黑体"/>
          <w:b w:val="0"/>
          <w:bCs/>
          <w:sz w:val="32"/>
          <w:szCs w:val="32"/>
          <w:lang w:val="en-US" w:eastAsia="zh-CN"/>
        </w:rPr>
        <w:t>一、工作开展情况</w:t>
      </w:r>
    </w:p>
    <w:p w14:paraId="2E477110">
      <w:pPr>
        <w:pStyle w:val="2"/>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left="0" w:leftChars="0" w:right="0" w:rightChars="0" w:firstLine="640" w:firstLineChars="200"/>
        <w:jc w:val="left"/>
        <w:textAlignment w:val="auto"/>
        <w:outlineLvl w:val="1"/>
        <w:rPr>
          <w:rFonts w:hint="eastAsia" w:ascii="楷体_GB2312" w:hAnsi="楷体_GB2312" w:eastAsia="楷体_GB2312" w:cs="楷体_GB2312"/>
          <w:b w:val="0"/>
          <w:bCs w:val="0"/>
          <w:sz w:val="32"/>
          <w:szCs w:val="32"/>
          <w:lang w:eastAsia="zh-CN"/>
        </w:rPr>
      </w:pPr>
      <w:r>
        <w:rPr>
          <w:rFonts w:hint="eastAsia" w:ascii="楷体_GB2312" w:hAnsi="楷体_GB2312" w:eastAsia="楷体_GB2312" w:cs="楷体_GB2312"/>
          <w:b w:val="0"/>
          <w:bCs w:val="0"/>
          <w:kern w:val="2"/>
          <w:sz w:val="32"/>
          <w:szCs w:val="32"/>
          <w:lang w:val="en-US" w:eastAsia="zh-CN" w:bidi="ar-SA"/>
        </w:rPr>
        <w:t>（一）</w:t>
      </w:r>
      <w:r>
        <w:rPr>
          <w:rStyle w:val="11"/>
          <w:rFonts w:hint="eastAsia" w:ascii="楷体_GB2312" w:hAnsi="楷体_GB2312" w:eastAsia="楷体_GB2312" w:cs="楷体_GB2312"/>
          <w:b w:val="0"/>
          <w:bCs w:val="0"/>
          <w:color w:val="auto"/>
          <w:sz w:val="32"/>
          <w:szCs w:val="32"/>
        </w:rPr>
        <w:t>提前准备，做好开学季食品安全培训。</w:t>
      </w:r>
    </w:p>
    <w:p w14:paraId="1438DBD8">
      <w:pPr>
        <w:keepNext w:val="0"/>
        <w:keepLines w:val="0"/>
        <w:pageBreakBefore w:val="0"/>
        <w:kinsoku/>
        <w:wordWrap/>
        <w:overflowPunct/>
        <w:topLinePunct w:val="0"/>
        <w:autoSpaceDE/>
        <w:autoSpaceDN/>
        <w:bidi w:val="0"/>
        <w:adjustRightInd w:val="0"/>
        <w:snapToGrid w:val="0"/>
        <w:spacing w:beforeAutospacing="0" w:afterAutospacing="0" w:line="560" w:lineRule="exact"/>
        <w:ind w:left="0" w:leftChars="0" w:right="0" w:rightChars="0"/>
        <w:textAlignment w:val="auto"/>
        <w:outlineLvl w:val="9"/>
        <w:rPr>
          <w:rFonts w:hint="eastAsia" w:ascii="黑体" w:hAnsi="黑体" w:eastAsia="黑体" w:cs="黑体"/>
          <w:b w:val="0"/>
          <w:bCs w:val="0"/>
          <w:kern w:val="2"/>
          <w:sz w:val="32"/>
          <w:szCs w:val="32"/>
          <w:lang w:val="en-US" w:eastAsia="zh-CN" w:bidi="ar-SA"/>
        </w:rPr>
      </w:pPr>
      <w:r>
        <w:rPr>
          <w:rFonts w:hint="eastAsia" w:ascii="仿宋_GB2312" w:hAnsi="仿宋_GB2312" w:eastAsia="仿宋_GB2312"/>
          <w:sz w:val="32"/>
          <w:szCs w:val="32"/>
          <w:lang w:val="en-US" w:eastAsia="zh-CN"/>
        </w:rPr>
        <w:t xml:space="preserve">    春季</w:t>
      </w:r>
      <w:r>
        <w:rPr>
          <w:rFonts w:hint="eastAsia" w:ascii="仿宋_GB2312" w:hAnsi="仿宋_GB2312" w:eastAsia="仿宋_GB2312"/>
          <w:sz w:val="32"/>
          <w:szCs w:val="32"/>
          <w:lang w:eastAsia="zh-CN"/>
        </w:rPr>
        <w:t>开学期间对</w:t>
      </w:r>
      <w:r>
        <w:rPr>
          <w:rFonts w:hint="eastAsia" w:ascii="仿宋_GB2312" w:hAnsi="仿宋_GB2312" w:eastAsia="仿宋_GB2312"/>
          <w:sz w:val="32"/>
          <w:szCs w:val="32"/>
        </w:rPr>
        <w:t>学校校长（幼儿园园长）、</w:t>
      </w:r>
      <w:r>
        <w:rPr>
          <w:rFonts w:hint="eastAsia" w:ascii="仿宋_GB2312" w:hAnsi="仿宋_GB2312" w:eastAsia="仿宋_GB2312"/>
          <w:sz w:val="32"/>
          <w:szCs w:val="32"/>
          <w:lang w:eastAsia="zh-CN"/>
        </w:rPr>
        <w:t>食品安全总监（</w:t>
      </w:r>
      <w:r>
        <w:rPr>
          <w:rFonts w:hint="eastAsia" w:ascii="仿宋_GB2312" w:hAnsi="仿宋_GB2312" w:eastAsia="仿宋_GB2312"/>
          <w:sz w:val="32"/>
          <w:szCs w:val="32"/>
        </w:rPr>
        <w:t>分管校长</w:t>
      </w:r>
      <w:r>
        <w:rPr>
          <w:rFonts w:hint="eastAsia" w:ascii="仿宋_GB2312" w:hAnsi="仿宋_GB2312" w:eastAsia="仿宋_GB2312"/>
          <w:sz w:val="32"/>
          <w:szCs w:val="32"/>
          <w:lang w:eastAsia="zh-CN"/>
        </w:rPr>
        <w:t>）</w:t>
      </w:r>
      <w:r>
        <w:rPr>
          <w:rFonts w:hint="eastAsia" w:ascii="仿宋_GB2312" w:hAnsi="仿宋_GB2312" w:eastAsia="仿宋_GB2312"/>
          <w:sz w:val="32"/>
          <w:szCs w:val="32"/>
        </w:rPr>
        <w:t>、食品安全员</w:t>
      </w:r>
      <w:r>
        <w:rPr>
          <w:rFonts w:hint="eastAsia" w:ascii="仿宋_GB2312" w:hAnsi="仿宋_GB2312" w:eastAsia="仿宋_GB2312"/>
          <w:sz w:val="32"/>
          <w:szCs w:val="32"/>
          <w:lang w:eastAsia="zh-CN"/>
        </w:rPr>
        <w:t>以及</w:t>
      </w:r>
      <w:r>
        <w:rPr>
          <w:rFonts w:hint="eastAsia" w:ascii="仿宋_GB2312" w:hAnsi="仿宋_GB2312" w:eastAsia="仿宋_GB2312"/>
          <w:sz w:val="32"/>
          <w:szCs w:val="32"/>
        </w:rPr>
        <w:t>校外供餐单位相</w:t>
      </w:r>
      <w:r>
        <w:rPr>
          <w:rFonts w:hint="eastAsia" w:ascii="仿宋_GB2312" w:hAnsi="仿宋_GB2312" w:eastAsia="仿宋_GB2312"/>
          <w:sz w:val="32"/>
          <w:szCs w:val="32"/>
          <w:lang w:val="en-US" w:eastAsia="zh-CN"/>
        </w:rPr>
        <w:t>关</w:t>
      </w:r>
      <w:r>
        <w:rPr>
          <w:rFonts w:hint="eastAsia" w:ascii="仿宋_GB2312" w:hAnsi="仿宋_GB2312" w:eastAsia="仿宋_GB2312"/>
          <w:sz w:val="32"/>
          <w:szCs w:val="32"/>
        </w:rPr>
        <w:t>人员</w:t>
      </w:r>
      <w:r>
        <w:rPr>
          <w:rFonts w:hint="eastAsia" w:ascii="仿宋_GB2312" w:hAnsi="仿宋_GB2312" w:eastAsia="仿宋_GB2312"/>
          <w:sz w:val="32"/>
          <w:szCs w:val="32"/>
          <w:lang w:eastAsia="zh-CN"/>
        </w:rPr>
        <w:t>约</w:t>
      </w:r>
      <w:r>
        <w:rPr>
          <w:rFonts w:hint="eastAsia" w:ascii="仿宋_GB2312" w:hAnsi="仿宋_GB2312" w:eastAsia="仿宋_GB2312"/>
          <w:sz w:val="32"/>
          <w:szCs w:val="32"/>
          <w:lang w:val="en-US" w:eastAsia="zh-CN"/>
        </w:rPr>
        <w:t>600余人</w:t>
      </w:r>
      <w:r>
        <w:rPr>
          <w:rFonts w:hint="eastAsia" w:ascii="仿宋_GB2312" w:hAnsi="仿宋_GB2312" w:eastAsia="仿宋_GB2312"/>
          <w:sz w:val="32"/>
          <w:szCs w:val="32"/>
          <w:lang w:eastAsia="zh-CN"/>
        </w:rPr>
        <w:t>进行</w:t>
      </w:r>
      <w:r>
        <w:rPr>
          <w:rFonts w:hint="eastAsia" w:ascii="仿宋_GB2312" w:hAnsi="仿宋_GB2312" w:eastAsia="仿宋_GB2312"/>
          <w:sz w:val="32"/>
          <w:szCs w:val="32"/>
        </w:rPr>
        <w:t>培训</w:t>
      </w:r>
      <w:r>
        <w:rPr>
          <w:rFonts w:hint="eastAsia" w:ascii="仿宋_GB2312" w:hAnsi="仿宋_GB2312" w:eastAsia="仿宋_GB2312"/>
          <w:sz w:val="32"/>
          <w:szCs w:val="32"/>
          <w:lang w:eastAsia="zh-CN"/>
        </w:rPr>
        <w:t>，</w:t>
      </w:r>
      <w:r>
        <w:rPr>
          <w:rFonts w:hint="eastAsia" w:ascii="仿宋_GB2312" w:hAnsi="仿宋_GB2312" w:eastAsia="仿宋_GB2312"/>
          <w:sz w:val="32"/>
          <w:szCs w:val="32"/>
          <w:lang w:val="en-US" w:eastAsia="zh-CN"/>
        </w:rPr>
        <w:t>同时</w:t>
      </w:r>
      <w:r>
        <w:rPr>
          <w:rFonts w:hint="eastAsia" w:ascii="仿宋_GB2312" w:hAnsi="仿宋_GB2312" w:eastAsia="仿宋_GB2312"/>
          <w:sz w:val="32"/>
          <w:szCs w:val="32"/>
          <w:lang w:eastAsia="zh-CN"/>
        </w:rPr>
        <w:t>督促</w:t>
      </w:r>
      <w:r>
        <w:rPr>
          <w:rFonts w:hint="eastAsia" w:ascii="仿宋_GB2312" w:hAnsi="仿宋_GB2312" w:eastAsia="仿宋_GB2312"/>
          <w:sz w:val="32"/>
          <w:szCs w:val="32"/>
        </w:rPr>
        <w:t>学校食堂、校外供餐单位根据岗位性质要求</w:t>
      </w:r>
      <w:r>
        <w:rPr>
          <w:rFonts w:hint="eastAsia" w:ascii="仿宋_GB2312" w:hAnsi="仿宋_GB2312" w:eastAsia="仿宋_GB2312"/>
          <w:sz w:val="32"/>
          <w:szCs w:val="32"/>
          <w:lang w:eastAsia="zh-CN"/>
        </w:rPr>
        <w:t>对</w:t>
      </w:r>
      <w:r>
        <w:rPr>
          <w:rFonts w:hint="eastAsia" w:ascii="仿宋_GB2312" w:hAnsi="仿宋_GB2312" w:eastAsia="仿宋_GB2312"/>
          <w:sz w:val="32"/>
          <w:szCs w:val="32"/>
        </w:rPr>
        <w:t>从业人员培训应知应会内容</w:t>
      </w:r>
      <w:r>
        <w:rPr>
          <w:rFonts w:hint="eastAsia" w:ascii="仿宋_GB2312" w:hAnsi="仿宋_GB2312" w:eastAsia="仿宋_GB2312"/>
          <w:sz w:val="32"/>
          <w:szCs w:val="32"/>
          <w:lang w:eastAsia="zh-CN"/>
        </w:rPr>
        <w:t>，</w:t>
      </w:r>
      <w:r>
        <w:rPr>
          <w:rFonts w:hint="eastAsia" w:ascii="仿宋_GB2312" w:hAnsi="仿宋_GB2312" w:eastAsia="仿宋_GB2312" w:cs="仿宋_GB2312"/>
          <w:sz w:val="32"/>
          <w:szCs w:val="32"/>
          <w:lang w:val="en-US" w:eastAsia="zh-CN"/>
        </w:rPr>
        <w:t>通过系统讲解，进一步提升相关人员的食品安全意识和责任意识。</w:t>
      </w:r>
    </w:p>
    <w:p w14:paraId="224B2EA8">
      <w:pPr>
        <w:pStyle w:val="2"/>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afterAutospacing="0" w:line="560" w:lineRule="exact"/>
        <w:ind w:left="0" w:leftChars="0" w:right="0" w:rightChars="0"/>
        <w:textAlignment w:val="auto"/>
        <w:rPr>
          <w:rFonts w:hint="eastAsia" w:ascii="楷体_GB2312" w:hAnsi="楷体_GB2312" w:eastAsia="楷体_GB2312" w:cs="楷体_GB2312"/>
          <w:b w:val="0"/>
          <w:bCs w:val="0"/>
          <w:sz w:val="32"/>
          <w:szCs w:val="32"/>
          <w:lang w:val="en-US" w:eastAsia="zh-CN"/>
        </w:rPr>
      </w:pPr>
      <w:r>
        <w:rPr>
          <w:rFonts w:hint="eastAsia" w:ascii="黑体" w:hAnsi="黑体" w:eastAsia="黑体" w:cs="黑体"/>
          <w:b w:val="0"/>
          <w:bCs w:val="0"/>
          <w:kern w:val="2"/>
          <w:sz w:val="32"/>
          <w:szCs w:val="32"/>
          <w:lang w:val="en-US" w:eastAsia="zh-CN" w:bidi="ar-SA"/>
        </w:rPr>
        <w:t xml:space="preserve">   </w:t>
      </w:r>
      <w:r>
        <w:rPr>
          <w:rFonts w:hint="eastAsia" w:ascii="楷体_GB2312" w:hAnsi="楷体_GB2312" w:eastAsia="楷体_GB2312" w:cs="楷体_GB2312"/>
          <w:b w:val="0"/>
          <w:bCs w:val="0"/>
          <w:kern w:val="2"/>
          <w:sz w:val="32"/>
          <w:szCs w:val="32"/>
          <w:lang w:val="en-US" w:eastAsia="zh-CN" w:bidi="ar-SA"/>
        </w:rPr>
        <w:t>（二）稳扎稳打，常态化</w:t>
      </w:r>
      <w:r>
        <w:rPr>
          <w:rFonts w:hint="eastAsia" w:ascii="楷体_GB2312" w:hAnsi="楷体_GB2312" w:eastAsia="楷体_GB2312" w:cs="楷体_GB2312"/>
          <w:b w:val="0"/>
          <w:bCs w:val="0"/>
          <w:sz w:val="32"/>
          <w:szCs w:val="32"/>
          <w:lang w:val="en-US" w:eastAsia="zh-CN"/>
        </w:rPr>
        <w:t>开展监督检查。</w:t>
      </w:r>
    </w:p>
    <w:p w14:paraId="16FE29E5">
      <w:pPr>
        <w:pStyle w:val="2"/>
        <w:keepNext w:val="0"/>
        <w:keepLines w:val="0"/>
        <w:pageBreakBefore w:val="0"/>
        <w:kinsoku/>
        <w:overflowPunct/>
        <w:topLinePunct w:val="0"/>
        <w:autoSpaceDE/>
        <w:autoSpaceDN/>
        <w:bidi w:val="0"/>
        <w:spacing w:before="0" w:beforeAutospacing="0" w:after="0" w:afterAutospacing="0" w:line="560" w:lineRule="exact"/>
        <w:ind w:left="0" w:leftChars="0" w:right="0" w:rightChars="0" w:firstLine="640" w:firstLineChars="200"/>
        <w:textAlignment w:val="auto"/>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b w:val="0"/>
          <w:bCs w:val="0"/>
          <w:sz w:val="32"/>
          <w:szCs w:val="32"/>
        </w:rPr>
        <w:t>一是严格季度监督检查。</w:t>
      </w:r>
      <w:r>
        <w:rPr>
          <w:rFonts w:hint="eastAsia" w:ascii="仿宋_GB2312" w:hAnsi="仿宋_GB2312" w:eastAsia="仿宋_GB2312" w:cs="仿宋_GB2312"/>
          <w:b w:val="0"/>
          <w:bCs w:val="0"/>
          <w:sz w:val="32"/>
          <w:szCs w:val="32"/>
          <w:lang w:val="en-US" w:eastAsia="zh-CN"/>
        </w:rPr>
        <w:t>2025</w:t>
      </w:r>
      <w:r>
        <w:rPr>
          <w:rFonts w:hint="eastAsia" w:ascii="仿宋_GB2312" w:hAnsi="仿宋_GB2312" w:eastAsia="仿宋_GB2312" w:cs="仿宋_GB2312"/>
          <w:b w:val="0"/>
          <w:bCs w:val="0"/>
          <w:sz w:val="32"/>
          <w:szCs w:val="32"/>
        </w:rPr>
        <w:t>以来共检查学校食堂</w:t>
      </w:r>
      <w:r>
        <w:rPr>
          <w:rFonts w:hint="eastAsia" w:ascii="仿宋_GB2312" w:hAnsi="仿宋_GB2312" w:eastAsia="仿宋_GB2312" w:cs="仿宋_GB2312"/>
          <w:b w:val="0"/>
          <w:bCs w:val="0"/>
          <w:sz w:val="32"/>
          <w:szCs w:val="32"/>
          <w:lang w:val="en-US" w:eastAsia="zh-CN"/>
        </w:rPr>
        <w:t>400余</w:t>
      </w:r>
      <w:r>
        <w:rPr>
          <w:rFonts w:hint="eastAsia" w:ascii="仿宋_GB2312" w:hAnsi="仿宋_GB2312" w:eastAsia="仿宋_GB2312" w:cs="仿宋_GB2312"/>
          <w:b w:val="0"/>
          <w:bCs w:val="0"/>
          <w:sz w:val="32"/>
          <w:szCs w:val="32"/>
        </w:rPr>
        <w:t>家次，发现问题</w:t>
      </w:r>
      <w:r>
        <w:rPr>
          <w:rFonts w:hint="eastAsia" w:ascii="仿宋_GB2312" w:hAnsi="仿宋_GB2312" w:eastAsia="仿宋_GB2312" w:cs="仿宋_GB2312"/>
          <w:b w:val="0"/>
          <w:bCs w:val="0"/>
          <w:sz w:val="32"/>
          <w:szCs w:val="32"/>
          <w:lang w:val="en-US" w:eastAsia="zh-CN"/>
        </w:rPr>
        <w:t>200</w:t>
      </w:r>
      <w:r>
        <w:rPr>
          <w:rFonts w:hint="eastAsia" w:ascii="仿宋_GB2312" w:hAnsi="仿宋_GB2312" w:eastAsia="仿宋_GB2312" w:cs="仿宋_GB2312"/>
          <w:b w:val="0"/>
          <w:bCs w:val="0"/>
          <w:sz w:val="32"/>
          <w:szCs w:val="32"/>
        </w:rPr>
        <w:t>余个,</w:t>
      </w:r>
      <w:r>
        <w:rPr>
          <w:rFonts w:hint="eastAsia" w:ascii="仿宋_GB2312" w:hAnsi="仿宋_GB2312" w:eastAsia="仿宋_GB2312" w:cs="仿宋_GB2312"/>
          <w:b w:val="0"/>
          <w:bCs w:val="0"/>
          <w:sz w:val="32"/>
          <w:szCs w:val="32"/>
          <w:lang w:eastAsia="zh-CN"/>
        </w:rPr>
        <w:t>下达责令改正通知书</w:t>
      </w:r>
      <w:r>
        <w:rPr>
          <w:rFonts w:hint="eastAsia" w:ascii="仿宋_GB2312" w:hAnsi="仿宋_GB2312" w:eastAsia="仿宋_GB2312" w:cs="仿宋_GB2312"/>
          <w:b w:val="0"/>
          <w:bCs w:val="0"/>
          <w:sz w:val="32"/>
          <w:szCs w:val="32"/>
          <w:lang w:val="en-US" w:eastAsia="zh-CN"/>
        </w:rPr>
        <w:t>150份</w:t>
      </w:r>
      <w:r>
        <w:rPr>
          <w:rFonts w:hint="eastAsia" w:ascii="仿宋_GB2312" w:hAnsi="仿宋_GB2312" w:eastAsia="仿宋_GB2312" w:cs="仿宋_GB2312"/>
          <w:b w:val="0"/>
          <w:bCs w:val="0"/>
          <w:sz w:val="32"/>
          <w:szCs w:val="32"/>
          <w:lang w:eastAsia="zh-CN"/>
        </w:rPr>
        <w:t>。</w:t>
      </w:r>
      <w:r>
        <w:rPr>
          <w:rFonts w:hint="eastAsia" w:ascii="仿宋_GB2312" w:hAnsi="仿宋_GB2312" w:eastAsia="仿宋_GB2312" w:cs="仿宋_GB2312"/>
          <w:b w:val="0"/>
          <w:bCs w:val="0"/>
          <w:sz w:val="32"/>
          <w:szCs w:val="32"/>
          <w:lang w:val="en-US" w:eastAsia="zh-CN"/>
        </w:rPr>
        <w:t>二是实施飞行检查巩固成效。</w:t>
      </w:r>
      <w:r>
        <w:rPr>
          <w:rFonts w:hint="eastAsia" w:ascii="仿宋_GB2312" w:hAnsi="仿宋_GB2312" w:eastAsia="仿宋_GB2312" w:cs="仿宋_GB2312"/>
          <w:b w:val="0"/>
          <w:bCs w:val="0"/>
          <w:sz w:val="32"/>
          <w:szCs w:val="32"/>
        </w:rPr>
        <w:t>对</w:t>
      </w:r>
      <w:r>
        <w:rPr>
          <w:rFonts w:hint="eastAsia" w:ascii="仿宋_GB2312" w:hAnsi="仿宋_GB2312" w:eastAsia="仿宋_GB2312" w:cs="仿宋_GB2312"/>
          <w:b w:val="0"/>
          <w:bCs w:val="0"/>
          <w:sz w:val="32"/>
          <w:szCs w:val="32"/>
          <w:lang w:val="en-US" w:eastAsia="zh-CN"/>
        </w:rPr>
        <w:t>6</w:t>
      </w:r>
      <w:r>
        <w:rPr>
          <w:rFonts w:hint="eastAsia" w:ascii="仿宋_GB2312" w:hAnsi="仿宋_GB2312" w:eastAsia="仿宋_GB2312" w:cs="仿宋_GB2312"/>
          <w:b w:val="0"/>
          <w:bCs w:val="0"/>
          <w:sz w:val="32"/>
          <w:szCs w:val="32"/>
        </w:rPr>
        <w:t>家学校(幼儿园)</w:t>
      </w:r>
      <w:r>
        <w:rPr>
          <w:rFonts w:hint="eastAsia" w:ascii="仿宋_GB2312" w:hAnsi="仿宋_GB2312" w:eastAsia="仿宋_GB2312" w:cs="仿宋_GB2312"/>
          <w:b w:val="0"/>
          <w:bCs w:val="0"/>
          <w:sz w:val="32"/>
          <w:szCs w:val="32"/>
          <w:lang w:eastAsia="zh-CN"/>
        </w:rPr>
        <w:t>食堂</w:t>
      </w:r>
      <w:r>
        <w:rPr>
          <w:rFonts w:hint="eastAsia" w:ascii="仿宋_GB2312" w:hAnsi="仿宋_GB2312" w:eastAsia="仿宋_GB2312" w:cs="仿宋_GB2312"/>
          <w:b w:val="0"/>
          <w:bCs w:val="0"/>
          <w:sz w:val="32"/>
          <w:szCs w:val="32"/>
        </w:rPr>
        <w:t>进行了飞行检查，</w:t>
      </w:r>
      <w:r>
        <w:rPr>
          <w:rFonts w:hint="eastAsia" w:ascii="仿宋_GB2312" w:hAnsi="仿宋_GB2312" w:eastAsia="仿宋_GB2312" w:cs="仿宋_GB2312"/>
          <w:b w:val="0"/>
          <w:bCs w:val="0"/>
          <w:sz w:val="32"/>
          <w:szCs w:val="32"/>
          <w:lang w:eastAsia="zh-CN"/>
        </w:rPr>
        <w:t>发现问题</w:t>
      </w:r>
      <w:r>
        <w:rPr>
          <w:rFonts w:hint="eastAsia" w:ascii="仿宋_GB2312" w:hAnsi="仿宋_GB2312" w:eastAsia="仿宋_GB2312" w:cs="仿宋_GB2312"/>
          <w:b w:val="0"/>
          <w:bCs w:val="0"/>
          <w:sz w:val="32"/>
          <w:szCs w:val="32"/>
          <w:lang w:val="en-US" w:eastAsia="zh-CN"/>
        </w:rPr>
        <w:t>15个，</w:t>
      </w:r>
      <w:r>
        <w:rPr>
          <w:rFonts w:hint="eastAsia" w:ascii="仿宋_GB2312" w:hAnsi="仿宋_GB2312" w:eastAsia="仿宋_GB2312" w:cs="仿宋_GB2312"/>
          <w:b w:val="0"/>
          <w:bCs w:val="0"/>
          <w:sz w:val="32"/>
          <w:szCs w:val="32"/>
        </w:rPr>
        <w:t>下达责令改正通知书</w:t>
      </w:r>
      <w:r>
        <w:rPr>
          <w:rFonts w:hint="eastAsia" w:ascii="仿宋_GB2312" w:hAnsi="仿宋_GB2312" w:eastAsia="仿宋_GB2312" w:cs="仿宋_GB2312"/>
          <w:b w:val="0"/>
          <w:bCs w:val="0"/>
          <w:sz w:val="32"/>
          <w:szCs w:val="32"/>
          <w:lang w:val="en-US" w:eastAsia="zh-CN"/>
        </w:rPr>
        <w:t>6</w:t>
      </w:r>
      <w:r>
        <w:rPr>
          <w:rFonts w:hint="eastAsia" w:ascii="仿宋_GB2312" w:hAnsi="仿宋_GB2312" w:eastAsia="仿宋_GB2312" w:cs="仿宋_GB2312"/>
          <w:b w:val="0"/>
          <w:bCs w:val="0"/>
          <w:sz w:val="32"/>
          <w:szCs w:val="32"/>
        </w:rPr>
        <w:t>份</w:t>
      </w:r>
      <w:r>
        <w:rPr>
          <w:rFonts w:hint="eastAsia" w:ascii="仿宋_GB2312" w:hAnsi="仿宋_GB2312" w:eastAsia="仿宋_GB2312" w:cs="仿宋_GB2312"/>
          <w:b w:val="0"/>
          <w:bCs w:val="0"/>
          <w:sz w:val="32"/>
          <w:szCs w:val="32"/>
          <w:lang w:eastAsia="zh-CN"/>
        </w:rPr>
        <w:t>，</w:t>
      </w:r>
      <w:r>
        <w:rPr>
          <w:rFonts w:hint="eastAsia" w:ascii="仿宋_GB2312" w:hAnsi="仿宋_GB2312" w:eastAsia="仿宋_GB2312" w:cs="仿宋_GB2312"/>
          <w:b w:val="0"/>
          <w:bCs w:val="0"/>
          <w:sz w:val="32"/>
          <w:szCs w:val="32"/>
        </w:rPr>
        <w:t>对发现的问题</w:t>
      </w:r>
      <w:r>
        <w:rPr>
          <w:rFonts w:hint="eastAsia" w:ascii="仿宋_GB2312" w:hAnsi="仿宋_GB2312" w:eastAsia="仿宋_GB2312" w:cs="仿宋_GB2312"/>
          <w:b w:val="0"/>
          <w:bCs w:val="0"/>
          <w:sz w:val="32"/>
          <w:szCs w:val="32"/>
          <w:lang w:eastAsia="zh-CN"/>
        </w:rPr>
        <w:t>持续</w:t>
      </w:r>
      <w:r>
        <w:rPr>
          <w:rFonts w:hint="eastAsia" w:ascii="仿宋_GB2312" w:hAnsi="仿宋_GB2312" w:eastAsia="仿宋_GB2312" w:cs="仿宋_GB2312"/>
          <w:b w:val="0"/>
          <w:bCs w:val="0"/>
          <w:sz w:val="32"/>
          <w:szCs w:val="32"/>
        </w:rPr>
        <w:t>指导规范</w:t>
      </w:r>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。三是建立工作台账，对于发现的问题实行销号管理，确保形成工作闭环。</w:t>
      </w:r>
    </w:p>
    <w:p w14:paraId="748065EF">
      <w:pPr>
        <w:keepNext w:val="0"/>
        <w:keepLines w:val="0"/>
        <w:pageBreakBefore w:val="0"/>
        <w:kinsoku/>
        <w:overflowPunct/>
        <w:topLinePunct w:val="0"/>
        <w:autoSpaceDE/>
        <w:autoSpaceDN/>
        <w:bidi w:val="0"/>
        <w:spacing w:beforeAutospacing="0" w:afterAutospacing="0" w:line="560" w:lineRule="exact"/>
        <w:ind w:right="0" w:rightChars="0" w:firstLine="640" w:firstLineChars="200"/>
        <w:textAlignment w:val="auto"/>
        <w:rPr>
          <w:rFonts w:hint="eastAsia" w:ascii="楷体_GB2312" w:hAnsi="楷体_GB2312" w:eastAsia="楷体_GB2312" w:cs="楷体_GB2312"/>
          <w:b w:val="0"/>
          <w:bCs w:val="0"/>
          <w:kern w:val="0"/>
          <w:sz w:val="32"/>
          <w:szCs w:val="32"/>
          <w:lang w:val="en-US" w:eastAsia="zh-CN" w:bidi="ar-SA"/>
        </w:rPr>
      </w:pPr>
      <w:r>
        <w:rPr>
          <w:rFonts w:hint="eastAsia" w:ascii="楷体_GB2312" w:hAnsi="楷体_GB2312" w:eastAsia="楷体_GB2312" w:cs="楷体_GB2312"/>
          <w:b w:val="0"/>
          <w:bCs w:val="0"/>
          <w:color w:val="000000" w:themeColor="text1"/>
          <w:sz w:val="32"/>
          <w:szCs w:val="32"/>
          <w:lang w:val="en-US" w:eastAsia="zh-CN"/>
          <w14:textFill>
            <w14:solidFill>
              <w14:schemeClr w14:val="tx1"/>
            </w14:solidFill>
          </w14:textFill>
        </w:rPr>
        <w:t>（三）</w:t>
      </w:r>
      <w:r>
        <w:rPr>
          <w:rFonts w:hint="eastAsia" w:ascii="楷体_GB2312" w:hAnsi="楷体_GB2312" w:eastAsia="楷体_GB2312" w:cs="楷体_GB2312"/>
          <w:b w:val="0"/>
          <w:bCs w:val="0"/>
          <w:kern w:val="2"/>
          <w:sz w:val="32"/>
          <w:szCs w:val="32"/>
          <w:lang w:val="en-US" w:eastAsia="zh-CN" w:bidi="ar-SA"/>
        </w:rPr>
        <w:t>及时跟进，开展</w:t>
      </w:r>
      <w:r>
        <w:rPr>
          <w:rFonts w:hint="eastAsia" w:ascii="楷体_GB2312" w:hAnsi="楷体_GB2312" w:eastAsia="楷体_GB2312" w:cs="楷体_GB2312"/>
          <w:b w:val="0"/>
          <w:bCs w:val="0"/>
          <w:i w:val="0"/>
          <w:caps w:val="0"/>
          <w:color w:val="auto"/>
          <w:spacing w:val="0"/>
          <w:sz w:val="32"/>
          <w:szCs w:val="32"/>
          <w:shd w:val="clear" w:color="auto" w:fill="FFFFFF"/>
          <w:lang w:eastAsia="zh-CN"/>
        </w:rPr>
        <w:t>校园食品监督</w:t>
      </w:r>
      <w:r>
        <w:rPr>
          <w:rFonts w:hint="eastAsia" w:ascii="楷体_GB2312" w:hAnsi="楷体_GB2312" w:eastAsia="楷体_GB2312" w:cs="楷体_GB2312"/>
          <w:b w:val="0"/>
          <w:bCs w:val="0"/>
          <w:kern w:val="0"/>
          <w:sz w:val="32"/>
          <w:szCs w:val="32"/>
          <w:lang w:val="en-US" w:eastAsia="zh-CN" w:bidi="ar-SA"/>
        </w:rPr>
        <w:t>抽检“回头看”。</w:t>
      </w:r>
    </w:p>
    <w:p w14:paraId="463C33C5">
      <w:pPr>
        <w:keepNext w:val="0"/>
        <w:keepLines w:val="0"/>
        <w:pageBreakBefore w:val="0"/>
        <w:kinsoku/>
        <w:overflowPunct/>
        <w:topLinePunct w:val="0"/>
        <w:autoSpaceDE/>
        <w:autoSpaceDN/>
        <w:bidi w:val="0"/>
        <w:spacing w:beforeAutospacing="0" w:afterAutospacing="0" w:line="560" w:lineRule="exact"/>
        <w:ind w:left="0" w:leftChars="0" w:right="0" w:rightChars="0"/>
        <w:textAlignment w:val="auto"/>
        <w:rPr>
          <w:rFonts w:hint="eastAsia" w:ascii="仿宋_GB2312" w:hAnsi="仿宋_GB2312" w:eastAsia="仿宋_GB2312" w:cs="仿宋_GB2312"/>
          <w:b w:val="0"/>
          <w:bCs w:val="0"/>
          <w:i w:val="0"/>
          <w:caps w:val="0"/>
          <w:color w:val="auto"/>
          <w:spacing w:val="0"/>
          <w:sz w:val="32"/>
          <w:szCs w:val="32"/>
          <w:shd w:val="clear" w:color="auto" w:fill="FFFFFF"/>
          <w:lang w:val="en-US" w:eastAsia="zh-CN"/>
        </w:rPr>
      </w:pPr>
      <w:r>
        <w:rPr>
          <w:rFonts w:hint="eastAsia" w:ascii="仿宋_GB2312" w:hAnsi="仿宋_GB2312" w:eastAsia="仿宋_GB2312" w:cs="仿宋_GB2312"/>
          <w:b w:val="0"/>
          <w:bCs w:val="0"/>
          <w:i w:val="0"/>
          <w:caps w:val="0"/>
          <w:color w:val="auto"/>
          <w:spacing w:val="0"/>
          <w:sz w:val="32"/>
          <w:szCs w:val="32"/>
          <w:shd w:val="clear" w:color="auto" w:fill="FFFFFF"/>
          <w:lang w:val="en-US" w:eastAsia="zh-CN"/>
        </w:rPr>
        <w:t xml:space="preserve">   2月份，针对2024年监督抽检发现问题的学校进行了抽检“回头看”活动，共抽检学校食堂9家，涉及调味品、餐饮具、蔬菜等共22个批次，全部抽检合格。</w:t>
      </w:r>
    </w:p>
    <w:p w14:paraId="10F184C1">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rightChars="0"/>
        <w:jc w:val="both"/>
        <w:textAlignment w:val="auto"/>
        <w:rPr>
          <w:rFonts w:hint="eastAsia" w:ascii="楷体_GB2312" w:hAnsi="楷体_GB2312" w:eastAsia="楷体_GB2312" w:cs="楷体_GB2312"/>
          <w:b/>
          <w:bCs/>
          <w:color w:val="auto"/>
          <w:sz w:val="32"/>
          <w:szCs w:val="32"/>
          <w:shd w:val="clear" w:color="auto" w:fill="auto"/>
          <w:lang w:val="en-US" w:eastAsia="zh-CN"/>
        </w:rPr>
      </w:pPr>
      <w:r>
        <w:rPr>
          <w:rFonts w:hint="eastAsia" w:ascii="仿宋_GB2312" w:hAnsi="仿宋_GB2312" w:eastAsia="仿宋_GB2312" w:cs="仿宋_GB2312"/>
          <w:i w:val="0"/>
          <w:caps w:val="0"/>
          <w:color w:val="auto"/>
          <w:spacing w:val="8"/>
          <w:sz w:val="32"/>
          <w:szCs w:val="32"/>
          <w:shd w:val="clear" w:fill="FFFFFF"/>
          <w:lang w:val="en-US" w:eastAsia="zh-CN"/>
        </w:rPr>
        <w:t xml:space="preserve">  </w:t>
      </w:r>
      <w:r>
        <w:rPr>
          <w:rFonts w:hint="eastAsia" w:ascii="楷体_GB2312" w:hAnsi="楷体_GB2312" w:eastAsia="楷体_GB2312" w:cs="楷体_GB2312"/>
          <w:b/>
          <w:bCs/>
          <w:color w:val="auto"/>
          <w:sz w:val="32"/>
          <w:szCs w:val="32"/>
          <w:shd w:val="clear" w:color="auto" w:fill="auto"/>
          <w:lang w:val="en-US" w:eastAsia="zh-CN"/>
        </w:rPr>
        <w:t xml:space="preserve"> </w:t>
      </w:r>
      <w:r>
        <w:rPr>
          <w:rFonts w:hint="eastAsia" w:ascii="楷体_GB2312" w:hAnsi="楷体_GB2312" w:eastAsia="楷体_GB2312" w:cs="楷体_GB2312"/>
          <w:b w:val="0"/>
          <w:bCs w:val="0"/>
          <w:color w:val="auto"/>
          <w:sz w:val="32"/>
          <w:szCs w:val="32"/>
          <w:shd w:val="clear" w:color="auto" w:fill="auto"/>
          <w:lang w:val="en-US" w:eastAsia="zh-CN"/>
        </w:rPr>
        <w:t>（四）推广意见本，减少校园食品安全“投诉”。</w:t>
      </w:r>
    </w:p>
    <w:p w14:paraId="453296D8">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pacing w:beforeAutospacing="0" w:afterAutospacing="0" w:line="560" w:lineRule="exact"/>
        <w:ind w:right="0" w:rightChars="0" w:firstLine="640" w:firstLineChars="200"/>
        <w:jc w:val="left"/>
        <w:textAlignment w:val="auto"/>
        <w:rPr>
          <w:rFonts w:hint="eastAsia" w:ascii="仿宋_GB2312" w:hAnsi="仿宋_GB2312" w:eastAsia="仿宋_GB2312" w:cs="仿宋_GB2312"/>
          <w:i w:val="0"/>
          <w:caps w:val="0"/>
          <w:color w:val="auto"/>
          <w:spacing w:val="15"/>
          <w:sz w:val="32"/>
          <w:szCs w:val="32"/>
          <w:shd w:val="clear" w:fill="FFFFFF"/>
          <w:lang w:eastAsia="zh-CN"/>
        </w:rPr>
      </w:pPr>
      <w:r>
        <w:rPr>
          <w:rFonts w:hint="eastAsia" w:ascii="仿宋_GB2312" w:hAnsi="仿宋_GB2312" w:eastAsia="仿宋_GB2312" w:cs="仿宋_GB2312"/>
          <w:color w:val="auto"/>
          <w:sz w:val="32"/>
          <w:szCs w:val="32"/>
          <w:shd w:val="clear" w:color="auto" w:fill="auto"/>
          <w:lang w:val="en-US" w:eastAsia="zh-CN"/>
        </w:rPr>
        <w:t>3月份开始，在全区中小学推广餐厅意见本，学生们有什么意见都可以在意见本留言，学校方面及时回应</w:t>
      </w:r>
      <w:r>
        <w:rPr>
          <w:rFonts w:hint="eastAsia" w:ascii="仿宋_GB2312" w:hAnsi="仿宋_GB2312" w:eastAsia="仿宋_GB2312" w:cs="仿宋_GB2312"/>
          <w:i w:val="0"/>
          <w:caps w:val="0"/>
          <w:color w:val="auto"/>
          <w:spacing w:val="0"/>
          <w:sz w:val="32"/>
          <w:szCs w:val="32"/>
          <w:shd w:val="clear" w:color="auto" w:fill="auto"/>
          <w:lang w:eastAsia="zh-CN"/>
        </w:rPr>
        <w:t>。同时市场监管部门结合季度检查翻看</w:t>
      </w:r>
      <w:r>
        <w:rPr>
          <w:rFonts w:hint="eastAsia" w:ascii="仿宋_GB2312" w:hAnsi="仿宋_GB2312" w:eastAsia="仿宋_GB2312" w:cs="仿宋_GB2312"/>
          <w:i w:val="0"/>
          <w:caps w:val="0"/>
          <w:color w:val="auto"/>
          <w:spacing w:val="0"/>
          <w:kern w:val="0"/>
          <w:sz w:val="32"/>
          <w:szCs w:val="32"/>
          <w:shd w:val="clear" w:color="auto" w:fill="auto"/>
          <w:lang w:val="en-US" w:eastAsia="zh-CN" w:bidi="ar"/>
        </w:rPr>
        <w:t>意见本，提高检查的针对性。力争实现</w:t>
      </w:r>
      <w:r>
        <w:rPr>
          <w:rFonts w:hint="eastAsia" w:ascii="仿宋_GB2312" w:hAnsi="仿宋_GB2312" w:eastAsia="仿宋_GB2312" w:cs="仿宋_GB2312"/>
          <w:i w:val="0"/>
          <w:caps w:val="0"/>
          <w:color w:val="auto"/>
          <w:spacing w:val="0"/>
          <w:sz w:val="32"/>
          <w:szCs w:val="32"/>
          <w:shd w:val="clear" w:color="auto" w:fill="auto"/>
          <w:lang w:val="en-US" w:eastAsia="zh-CN"/>
        </w:rPr>
        <w:t>问题、投诉不出校，极力降低投诉数量和舆情风险。</w:t>
      </w:r>
    </w:p>
    <w:p w14:paraId="22B7E2FE">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rightChars="0"/>
        <w:jc w:val="both"/>
        <w:textAlignment w:val="auto"/>
        <w:rPr>
          <w:rFonts w:hint="eastAsia" w:ascii="楷体_GB2312" w:hAnsi="楷体_GB2312" w:eastAsia="楷体_GB2312" w:cs="楷体_GB2312"/>
          <w:b/>
          <w:bCs/>
          <w:color w:val="auto"/>
          <w:sz w:val="32"/>
          <w:szCs w:val="32"/>
          <w:shd w:val="clear" w:color="auto" w:fill="auto"/>
          <w:lang w:val="en-US" w:eastAsia="zh-CN"/>
        </w:rPr>
      </w:pPr>
      <w:r>
        <w:rPr>
          <w:rFonts w:hint="eastAsia" w:ascii="楷体_GB2312" w:hAnsi="楷体_GB2312" w:eastAsia="楷体_GB2312" w:cs="楷体_GB2312"/>
          <w:b/>
          <w:bCs/>
          <w:color w:val="auto"/>
          <w:sz w:val="32"/>
          <w:szCs w:val="32"/>
          <w:shd w:val="clear" w:color="auto" w:fill="auto"/>
          <w:lang w:val="en-US" w:eastAsia="zh-CN"/>
        </w:rPr>
        <w:t xml:space="preserve">    </w:t>
      </w:r>
      <w:r>
        <w:rPr>
          <w:rFonts w:hint="eastAsia" w:ascii="楷体_GB2312" w:hAnsi="楷体_GB2312" w:eastAsia="楷体_GB2312" w:cs="楷体_GB2312"/>
          <w:b w:val="0"/>
          <w:bCs w:val="0"/>
          <w:color w:val="auto"/>
          <w:sz w:val="32"/>
          <w:szCs w:val="32"/>
          <w:shd w:val="clear" w:color="auto" w:fill="auto"/>
          <w:lang w:val="en-US" w:eastAsia="zh-CN"/>
        </w:rPr>
        <w:t>（五） 部门联动，配合试推“第三方”点穴抽查。</w:t>
      </w:r>
    </w:p>
    <w:p w14:paraId="6C4D77AD">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rightChars="0"/>
        <w:jc w:val="both"/>
        <w:textAlignment w:val="auto"/>
        <w:rPr>
          <w:rFonts w:hint="eastAsia" w:ascii="仿宋_GB2312" w:hAnsi="仿宋_GB2312" w:eastAsia="仿宋_GB2312" w:cs="仿宋_GB2312"/>
          <w:b w:val="0"/>
          <w:bCs w:val="0"/>
          <w:color w:val="auto"/>
          <w:sz w:val="32"/>
          <w:szCs w:val="32"/>
          <w:shd w:val="clear" w:color="auto" w:fill="auto"/>
          <w:lang w:val="en-US" w:eastAsia="zh-CN"/>
        </w:rPr>
      </w:pPr>
      <w:r>
        <w:rPr>
          <w:rFonts w:hint="eastAsia" w:ascii="仿宋_GB2312" w:hAnsi="仿宋_GB2312" w:eastAsia="仿宋_GB2312" w:cs="仿宋_GB2312"/>
          <w:b w:val="0"/>
          <w:bCs w:val="0"/>
          <w:color w:val="auto"/>
          <w:sz w:val="32"/>
          <w:szCs w:val="32"/>
          <w:shd w:val="clear" w:color="auto" w:fill="auto"/>
          <w:lang w:val="en-US" w:eastAsia="zh-CN"/>
        </w:rPr>
        <w:t xml:space="preserve">    建立常态化的食品安全预警机制，配合教体局试点聘请第三方食品安全检测和病媒生物防制机构进行定期评估，提升“人防”素养，完善“物防”措施，强化“技防”效能，瞄准食堂运营和管理全链条，重点针对加工控制过程、餐饮具清洗消毒等环节，全面彻底且精准性“解剖式”督查，切实推动真查、真发现问题，并推动问题整改。</w:t>
      </w:r>
    </w:p>
    <w:p w14:paraId="1CD01C08">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60" w:lineRule="exact"/>
        <w:ind w:left="0" w:leftChars="0" w:right="0" w:rightChars="0" w:firstLine="640" w:firstLineChars="200"/>
        <w:textAlignment w:val="auto"/>
        <w:outlineLvl w:val="9"/>
        <w:rPr>
          <w:rFonts w:hint="eastAsia" w:ascii="黑体" w:hAnsi="黑体" w:eastAsia="黑体" w:cs="黑体"/>
          <w:sz w:val="32"/>
          <w:szCs w:val="32"/>
          <w:lang w:val="en-US" w:eastAsia="zh-CN"/>
        </w:rPr>
      </w:pPr>
      <w:r>
        <w:rPr>
          <w:rFonts w:hint="eastAsia" w:ascii="黑体" w:hAnsi="黑体" w:eastAsia="黑体" w:cs="黑体"/>
          <w:sz w:val="32"/>
          <w:szCs w:val="32"/>
          <w:lang w:eastAsia="zh-CN"/>
        </w:rPr>
        <w:t>二、</w:t>
      </w:r>
      <w:r>
        <w:rPr>
          <w:rFonts w:hint="eastAsia" w:ascii="黑体" w:hAnsi="黑体" w:eastAsia="黑体" w:cs="黑体"/>
          <w:sz w:val="32"/>
          <w:szCs w:val="32"/>
          <w:lang w:val="en-US" w:eastAsia="zh-CN"/>
        </w:rPr>
        <w:t>下步工作打算</w:t>
      </w:r>
    </w:p>
    <w:p w14:paraId="5DA0FFAB">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60" w:lineRule="exact"/>
        <w:ind w:left="0" w:leftChars="0" w:right="0" w:rightChars="0"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下一步，</w:t>
      </w:r>
      <w:r>
        <w:rPr>
          <w:rFonts w:hint="eastAsia" w:ascii="仿宋_GB2312" w:hAnsi="仿宋_GB2312" w:eastAsia="仿宋_GB2312" w:cs="仿宋_GB2312"/>
          <w:sz w:val="32"/>
          <w:szCs w:val="32"/>
          <w:lang w:eastAsia="zh-CN"/>
        </w:rPr>
        <w:t>区市场监管局</w:t>
      </w:r>
      <w:r>
        <w:rPr>
          <w:rFonts w:hint="eastAsia" w:ascii="仿宋_GB2312" w:hAnsi="仿宋_GB2312" w:eastAsia="仿宋_GB2312" w:cs="仿宋_GB2312"/>
          <w:sz w:val="32"/>
          <w:szCs w:val="32"/>
        </w:rPr>
        <w:t>将</w:t>
      </w:r>
      <w:r>
        <w:rPr>
          <w:rFonts w:hint="eastAsia" w:ascii="仿宋_GB2312" w:hAnsi="仿宋_GB2312" w:eastAsia="仿宋_GB2312" w:cs="仿宋_GB2312"/>
          <w:sz w:val="32"/>
          <w:szCs w:val="32"/>
          <w:lang w:val="en-US" w:eastAsia="zh-CN"/>
        </w:rPr>
        <w:t>坚持问题导向，围绕发现</w:t>
      </w:r>
      <w:r>
        <w:rPr>
          <w:rFonts w:hint="eastAsia" w:ascii="仿宋_GB2312" w:hAnsi="仿宋_GB2312" w:eastAsia="仿宋_GB2312" w:cs="仿宋_GB2312"/>
          <w:sz w:val="32"/>
          <w:szCs w:val="32"/>
          <w:lang w:eastAsia="zh-CN"/>
        </w:rPr>
        <w:t>的问题，</w:t>
      </w:r>
      <w:r>
        <w:rPr>
          <w:rFonts w:hint="eastAsia" w:ascii="仿宋_GB2312" w:hAnsi="仿宋_GB2312" w:eastAsia="仿宋_GB2312" w:cs="仿宋_GB2312"/>
          <w:sz w:val="32"/>
          <w:szCs w:val="32"/>
        </w:rPr>
        <w:t>进一步</w:t>
      </w:r>
      <w:r>
        <w:rPr>
          <w:rFonts w:hint="eastAsia" w:ascii="仿宋_GB2312" w:hAnsi="仿宋_GB2312" w:eastAsia="仿宋_GB2312" w:cs="仿宋_GB2312"/>
          <w:sz w:val="32"/>
          <w:szCs w:val="32"/>
          <w:lang w:eastAsia="zh-CN"/>
        </w:rPr>
        <w:t>明确责任，严格落</w:t>
      </w:r>
      <w:r>
        <w:rPr>
          <w:rFonts w:hint="eastAsia" w:ascii="仿宋_GB2312" w:hAnsi="仿宋_GB2312" w:eastAsia="仿宋_GB2312" w:cs="仿宋_GB2312"/>
          <w:sz w:val="32"/>
          <w:szCs w:val="32"/>
        </w:rPr>
        <w:t>实“四个最严”要求，</w:t>
      </w:r>
      <w:r>
        <w:rPr>
          <w:rFonts w:hint="eastAsia" w:ascii="仿宋_GB2312" w:hAnsi="仿宋_GB2312" w:eastAsia="仿宋_GB2312" w:cs="仿宋_GB2312"/>
          <w:sz w:val="32"/>
          <w:szCs w:val="32"/>
          <w:lang w:eastAsia="zh-CN"/>
        </w:rPr>
        <w:t>提升监管质效，</w:t>
      </w:r>
      <w:r>
        <w:rPr>
          <w:rFonts w:hint="eastAsia" w:ascii="仿宋_GB2312" w:hAnsi="仿宋_GB2312" w:eastAsia="仿宋_GB2312" w:cs="仿宋_GB2312"/>
          <w:sz w:val="32"/>
          <w:szCs w:val="32"/>
        </w:rPr>
        <w:t>防</w:t>
      </w:r>
      <w:r>
        <w:rPr>
          <w:rFonts w:hint="eastAsia" w:ascii="仿宋_GB2312" w:hAnsi="仿宋_GB2312" w:eastAsia="仿宋_GB2312" w:cs="仿宋_GB2312"/>
          <w:sz w:val="32"/>
          <w:szCs w:val="32"/>
          <w:lang w:eastAsia="zh-CN"/>
        </w:rPr>
        <w:t>止</w:t>
      </w:r>
      <w:r>
        <w:rPr>
          <w:rFonts w:hint="eastAsia" w:ascii="仿宋_GB2312" w:hAnsi="仿宋_GB2312" w:eastAsia="仿宋_GB2312" w:cs="仿宋_GB2312"/>
          <w:sz w:val="32"/>
          <w:szCs w:val="32"/>
        </w:rPr>
        <w:t>发生食品安全事故。</w:t>
      </w:r>
    </w:p>
    <w:p w14:paraId="735AF315">
      <w:pPr>
        <w:pStyle w:val="2"/>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afterAutospacing="0" w:line="560" w:lineRule="exact"/>
        <w:ind w:left="0" w:leftChars="0" w:right="0" w:rightChars="0"/>
        <w:textAlignment w:val="auto"/>
        <w:rPr>
          <w:rFonts w:hint="eastAsia" w:ascii="仿宋" w:hAnsi="仿宋" w:eastAsia="仿宋" w:cs="仿宋"/>
          <w:b w:val="0"/>
          <w:bCs w:val="0"/>
          <w:sz w:val="32"/>
          <w:szCs w:val="32"/>
          <w:lang w:eastAsia="zh-CN"/>
        </w:rPr>
      </w:pPr>
      <w:r>
        <w:rPr>
          <w:rFonts w:hint="eastAsia" w:ascii="黑体" w:hAnsi="黑体" w:eastAsia="黑体" w:cs="黑体"/>
          <w:b w:val="0"/>
          <w:bCs w:val="0"/>
          <w:kern w:val="2"/>
          <w:sz w:val="32"/>
          <w:szCs w:val="32"/>
          <w:lang w:val="en-US" w:eastAsia="zh-CN" w:bidi="ar-SA"/>
        </w:rPr>
        <w:t xml:space="preserve">   </w:t>
      </w:r>
      <w:r>
        <w:rPr>
          <w:rFonts w:hint="eastAsia" w:ascii="楷体_GB2312" w:hAnsi="楷体_GB2312" w:eastAsia="楷体_GB2312" w:cs="楷体_GB2312"/>
          <w:b w:val="0"/>
          <w:bCs w:val="0"/>
          <w:kern w:val="2"/>
          <w:sz w:val="32"/>
          <w:szCs w:val="32"/>
          <w:lang w:val="en-US" w:eastAsia="zh-CN" w:bidi="ar-SA"/>
        </w:rPr>
        <w:t xml:space="preserve"> </w:t>
      </w:r>
      <w:r>
        <w:rPr>
          <w:rFonts w:hint="eastAsia" w:ascii="楷体_GB2312" w:hAnsi="楷体_GB2312" w:eastAsia="楷体_GB2312" w:cs="楷体_GB2312"/>
          <w:b w:val="0"/>
          <w:bCs w:val="0"/>
          <w:kern w:val="2"/>
          <w:sz w:val="32"/>
          <w:szCs w:val="32"/>
          <w:lang w:val="en-US" w:eastAsia="zh-CN" w:bidi="ar-SA"/>
        </w:rPr>
        <w:t>（一）加强季度检查，确保师生饮食安全。</w:t>
      </w:r>
      <w:r>
        <w:rPr>
          <w:rFonts w:hint="eastAsia" w:ascii="仿宋" w:hAnsi="仿宋" w:eastAsia="仿宋" w:cs="仿宋"/>
          <w:b w:val="0"/>
          <w:bCs w:val="0"/>
          <w:kern w:val="2"/>
          <w:sz w:val="32"/>
          <w:szCs w:val="32"/>
          <w:lang w:val="en-US" w:eastAsia="zh-CN" w:bidi="ar-SA"/>
        </w:rPr>
        <w:t>持续开展全覆盖的季度检查工作，对于发现的问题形成季度检查工作台账，逐项跟踪整改，确保形成工作闭环。</w:t>
      </w:r>
    </w:p>
    <w:p w14:paraId="331DCDC9">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560" w:lineRule="exact"/>
        <w:ind w:left="0" w:leftChars="0" w:right="0" w:rightChars="0" w:firstLine="640" w:firstLineChars="200"/>
        <w:jc w:val="both"/>
        <w:textAlignment w:val="auto"/>
        <w:rPr>
          <w:rFonts w:hint="eastAsia" w:ascii="仿宋_GB2312" w:hAnsi="仿宋_GB2312" w:eastAsia="仿宋_GB2312" w:cs="仿宋_GB2312"/>
          <w:color w:val="auto"/>
          <w:sz w:val="32"/>
          <w:szCs w:val="32"/>
          <w:shd w:val="clear" w:color="auto" w:fill="auto"/>
          <w:lang w:val="en-US" w:eastAsia="zh-CN"/>
        </w:rPr>
      </w:pPr>
      <w:r>
        <w:rPr>
          <w:rFonts w:hint="eastAsia" w:ascii="楷体_GB2312" w:hAnsi="楷体_GB2312" w:eastAsia="楷体_GB2312" w:cs="楷体_GB2312"/>
          <w:b w:val="0"/>
          <w:bCs w:val="0"/>
          <w:sz w:val="32"/>
          <w:szCs w:val="32"/>
          <w:lang w:val="en-US" w:eastAsia="zh-CN"/>
        </w:rPr>
        <w:t>（二）</w:t>
      </w:r>
      <w:r>
        <w:rPr>
          <w:rFonts w:hint="eastAsia" w:ascii="楷体_GB2312" w:hAnsi="楷体_GB2312" w:eastAsia="楷体_GB2312" w:cs="楷体_GB2312"/>
          <w:b w:val="0"/>
          <w:bCs w:val="0"/>
          <w:color w:val="auto"/>
          <w:sz w:val="32"/>
          <w:szCs w:val="32"/>
          <w:shd w:val="clear" w:color="auto" w:fill="auto"/>
          <w:lang w:val="en-US" w:eastAsia="zh-CN"/>
        </w:rPr>
        <w:t>示范引领，推广校外供餐单位先进经验。</w:t>
      </w:r>
      <w:r>
        <w:rPr>
          <w:rFonts w:hint="eastAsia" w:ascii="仿宋_GB2312" w:hAnsi="仿宋_GB2312" w:eastAsia="仿宋_GB2312" w:cs="仿宋_GB2312"/>
          <w:color w:val="auto"/>
          <w:sz w:val="32"/>
          <w:szCs w:val="32"/>
          <w:shd w:val="clear" w:color="auto" w:fill="auto"/>
          <w:lang w:val="en-US" w:eastAsia="zh-CN"/>
        </w:rPr>
        <w:t>充分发挥典型示范作用，选取管理规范的校外供餐单位作为观摩点，组织全区校外供餐单位学习</w:t>
      </w:r>
      <w:r>
        <w:rPr>
          <w:rFonts w:hint="eastAsia" w:ascii="仿宋_GB2312" w:hAnsi="仿宋_GB2312" w:eastAsia="仿宋_GB2312" w:cs="仿宋_GB2312"/>
          <w:sz w:val="32"/>
          <w:szCs w:val="32"/>
        </w:rPr>
        <w:t>管理经验，提升整体管理水平。</w:t>
      </w:r>
    </w:p>
    <w:p w14:paraId="08A6543D">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60" w:lineRule="exact"/>
        <w:ind w:left="0" w:leftChars="0" w:right="0" w:rightChars="0"/>
        <w:textAlignment w:val="auto"/>
        <w:outlineLvl w:val="9"/>
        <w:rPr>
          <w:rFonts w:hint="eastAsia"/>
          <w:lang w:val="en-US" w:eastAsia="zh-CN"/>
        </w:rPr>
      </w:pPr>
      <w:r>
        <w:rPr>
          <w:rFonts w:hint="eastAsia" w:ascii="仿宋_GB2312" w:hAnsi="仿宋_GB2312" w:eastAsia="仿宋_GB2312" w:cs="仿宋_GB2312"/>
          <w:color w:val="auto"/>
          <w:sz w:val="32"/>
          <w:szCs w:val="32"/>
          <w:shd w:val="clear" w:color="auto" w:fill="auto"/>
          <w:lang w:val="en-US" w:eastAsia="zh-CN"/>
        </w:rPr>
        <w:t xml:space="preserve">    </w:t>
      </w:r>
      <w:r>
        <w:rPr>
          <w:rFonts w:hint="eastAsia" w:ascii="楷体_GB2312" w:hAnsi="楷体_GB2312" w:eastAsia="楷体_GB2312" w:cs="楷体_GB2312"/>
          <w:b w:val="0"/>
          <w:bCs w:val="0"/>
          <w:sz w:val="32"/>
          <w:szCs w:val="32"/>
          <w:lang w:val="en-US" w:eastAsia="zh-CN"/>
        </w:rPr>
        <w:t>（三）突出监管重点，化解风险隐患。</w:t>
      </w:r>
      <w:r>
        <w:rPr>
          <w:rFonts w:hint="eastAsia" w:ascii="仿宋" w:hAnsi="仿宋" w:eastAsia="仿宋" w:cs="仿宋"/>
          <w:b w:val="0"/>
          <w:bCs w:val="0"/>
          <w:sz w:val="32"/>
          <w:szCs w:val="32"/>
          <w:lang w:val="en-US" w:eastAsia="zh-CN"/>
        </w:rPr>
        <w:t>及时梳理信访举报、网络舆情、多批次抽检不合格的学校食堂和民办学校食堂，分析问题原因，加强教育培训，加大监督检查频次，严防严控校园食品安全风险。</w:t>
      </w:r>
    </w:p>
    <w:p w14:paraId="570B4CBD">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60" w:lineRule="exact"/>
        <w:ind w:left="0" w:leftChars="0" w:right="0" w:rightChars="0" w:firstLine="640" w:firstLineChars="200"/>
        <w:jc w:val="left"/>
        <w:textAlignment w:val="auto"/>
        <w:rPr>
          <w:rFonts w:eastAsia="仿宋_GB2312"/>
          <w:b/>
          <w:spacing w:val="-6"/>
          <w:sz w:val="32"/>
        </w:rPr>
      </w:pPr>
      <w:r>
        <w:rPr>
          <w:rFonts w:hint="eastAsia" w:ascii="楷体_GB2312" w:hAnsi="楷体_GB2312" w:eastAsia="楷体_GB2312" w:cs="楷体_GB2312"/>
          <w:b w:val="0"/>
          <w:bCs w:val="0"/>
          <w:sz w:val="32"/>
          <w:szCs w:val="32"/>
          <w:lang w:val="en-US" w:eastAsia="zh-CN"/>
        </w:rPr>
        <w:t>（四）加强部门沟通，形成监管合力。</w:t>
      </w:r>
      <w:r>
        <w:rPr>
          <w:rFonts w:hint="eastAsia" w:ascii="仿宋" w:hAnsi="仿宋" w:eastAsia="仿宋" w:cs="仿宋"/>
          <w:b w:val="0"/>
          <w:bCs w:val="0"/>
          <w:sz w:val="32"/>
          <w:szCs w:val="32"/>
          <w:lang w:val="en-US" w:eastAsia="zh-CN"/>
        </w:rPr>
        <w:t>充分发挥监管合力，加强部门的协作和信息的互通有无，将监管发现的风险点定期通报给教体部门，充分发挥行业主管部门的作用，督促学校做好整改，及时消除风险隐患。</w:t>
      </w:r>
    </w:p>
    <w:p w14:paraId="30300445">
      <w:pPr>
        <w:keepNext w:val="0"/>
        <w:keepLines w:val="0"/>
        <w:pageBreakBefore w:val="0"/>
        <w:kinsoku/>
        <w:overflowPunct/>
        <w:topLinePunct w:val="0"/>
        <w:autoSpaceDE/>
        <w:autoSpaceDN/>
        <w:bidi w:val="0"/>
        <w:spacing w:line="560" w:lineRule="exact"/>
        <w:textAlignment w:val="auto"/>
        <w:rPr>
          <w:rFonts w:hint="eastAsia" w:ascii="仿宋_GB2312" w:hAnsi="仿宋_GB2312" w:eastAsia="仿宋_GB2312" w:cs="仿宋_GB2312"/>
          <w:b w:val="0"/>
          <w:bCs/>
          <w:spacing w:val="-6"/>
          <w:sz w:val="32"/>
          <w:lang w:eastAsia="zh-CN"/>
        </w:rPr>
      </w:pPr>
      <w:bookmarkStart w:id="0" w:name="_GoBack"/>
      <w:r>
        <w:rPr>
          <w:rFonts w:hint="eastAsia" w:ascii="仿宋_GB2312" w:hAnsi="仿宋_GB2312" w:eastAsia="仿宋_GB2312" w:cs="仿宋_GB2312"/>
          <w:b/>
          <w:spacing w:val="-6"/>
          <w:sz w:val="32"/>
        </w:rPr>
        <w:t xml:space="preserve">                            </w:t>
      </w:r>
      <w:r>
        <w:rPr>
          <w:rFonts w:hint="eastAsia" w:ascii="仿宋_GB2312" w:hAnsi="仿宋_GB2312" w:eastAsia="仿宋_GB2312" w:cs="仿宋_GB2312"/>
          <w:b w:val="0"/>
          <w:bCs/>
          <w:spacing w:val="-6"/>
          <w:sz w:val="32"/>
        </w:rPr>
        <w:t xml:space="preserve">   </w:t>
      </w:r>
      <w:r>
        <w:rPr>
          <w:rFonts w:hint="eastAsia" w:ascii="仿宋_GB2312" w:hAnsi="仿宋_GB2312" w:eastAsia="仿宋_GB2312" w:cs="仿宋_GB2312"/>
          <w:b w:val="0"/>
          <w:bCs/>
          <w:spacing w:val="-6"/>
          <w:sz w:val="32"/>
          <w:lang w:eastAsia="zh-CN"/>
        </w:rPr>
        <w:t>青岛市即墨区市场监督管理局</w:t>
      </w:r>
    </w:p>
    <w:p w14:paraId="23E31232">
      <w:pPr>
        <w:keepNext w:val="0"/>
        <w:keepLines w:val="0"/>
        <w:pageBreakBefore w:val="0"/>
        <w:kinsoku/>
        <w:overflowPunct/>
        <w:topLinePunct w:val="0"/>
        <w:autoSpaceDE/>
        <w:autoSpaceDN/>
        <w:bidi w:val="0"/>
        <w:spacing w:line="560" w:lineRule="exact"/>
        <w:textAlignment w:val="auto"/>
        <w:rPr>
          <w:rFonts w:hint="eastAsia" w:ascii="仿宋_GB2312" w:hAnsi="仿宋_GB2312" w:eastAsia="仿宋_GB2312" w:cs="仿宋_GB2312"/>
          <w:b w:val="0"/>
          <w:bCs/>
          <w:spacing w:val="-6"/>
          <w:sz w:val="32"/>
        </w:rPr>
      </w:pPr>
      <w:r>
        <w:rPr>
          <w:rFonts w:hint="eastAsia" w:ascii="仿宋_GB2312" w:hAnsi="仿宋_GB2312" w:eastAsia="仿宋_GB2312" w:cs="仿宋_GB2312"/>
          <w:b w:val="0"/>
          <w:bCs/>
          <w:spacing w:val="-6"/>
          <w:sz w:val="32"/>
        </w:rPr>
        <w:t xml:space="preserve">                                    </w:t>
      </w:r>
      <w:r>
        <w:rPr>
          <w:rFonts w:hint="eastAsia" w:ascii="仿宋_GB2312" w:hAnsi="仿宋_GB2312" w:eastAsia="仿宋_GB2312" w:cs="仿宋_GB2312"/>
          <w:b w:val="0"/>
          <w:bCs/>
          <w:spacing w:val="-6"/>
          <w:sz w:val="32"/>
          <w:lang w:val="en-US" w:eastAsia="zh-CN"/>
        </w:rPr>
        <w:t>2025</w:t>
      </w:r>
      <w:r>
        <w:rPr>
          <w:rFonts w:hint="eastAsia" w:ascii="仿宋_GB2312" w:hAnsi="仿宋_GB2312" w:eastAsia="仿宋_GB2312" w:cs="仿宋_GB2312"/>
          <w:b w:val="0"/>
          <w:bCs/>
          <w:spacing w:val="-6"/>
          <w:sz w:val="32"/>
        </w:rPr>
        <w:t>年</w:t>
      </w:r>
      <w:r>
        <w:rPr>
          <w:rFonts w:hint="eastAsia" w:ascii="仿宋_GB2312" w:hAnsi="仿宋_GB2312" w:eastAsia="仿宋_GB2312" w:cs="仿宋_GB2312"/>
          <w:b w:val="0"/>
          <w:bCs/>
          <w:spacing w:val="-6"/>
          <w:sz w:val="32"/>
          <w:lang w:val="en-US" w:eastAsia="zh-CN"/>
        </w:rPr>
        <w:t>3</w:t>
      </w:r>
      <w:r>
        <w:rPr>
          <w:rFonts w:hint="eastAsia" w:ascii="仿宋_GB2312" w:hAnsi="仿宋_GB2312" w:eastAsia="仿宋_GB2312" w:cs="仿宋_GB2312"/>
          <w:b w:val="0"/>
          <w:bCs/>
          <w:spacing w:val="-6"/>
          <w:sz w:val="32"/>
        </w:rPr>
        <w:t>月</w:t>
      </w:r>
      <w:r>
        <w:rPr>
          <w:rFonts w:hint="eastAsia" w:ascii="仿宋_GB2312" w:hAnsi="仿宋_GB2312" w:eastAsia="仿宋_GB2312" w:cs="仿宋_GB2312"/>
          <w:b w:val="0"/>
          <w:bCs/>
          <w:spacing w:val="-6"/>
          <w:sz w:val="32"/>
          <w:lang w:val="en-US" w:eastAsia="zh-CN"/>
        </w:rPr>
        <w:t>21</w:t>
      </w:r>
      <w:r>
        <w:rPr>
          <w:rFonts w:hint="eastAsia" w:ascii="仿宋_GB2312" w:hAnsi="仿宋_GB2312" w:eastAsia="仿宋_GB2312" w:cs="仿宋_GB2312"/>
          <w:b w:val="0"/>
          <w:bCs/>
          <w:spacing w:val="-6"/>
          <w:sz w:val="32"/>
        </w:rPr>
        <w:t>日</w:t>
      </w:r>
    </w:p>
    <w:p w14:paraId="7D55F35B">
      <w:pPr>
        <w:keepNext w:val="0"/>
        <w:keepLines w:val="0"/>
        <w:pageBreakBefore w:val="0"/>
        <w:kinsoku/>
        <w:overflowPunct/>
        <w:topLinePunct w:val="0"/>
        <w:autoSpaceDE/>
        <w:autoSpaceDN/>
        <w:bidi w:val="0"/>
        <w:spacing w:line="560" w:lineRule="exact"/>
        <w:textAlignment w:val="auto"/>
        <w:rPr>
          <w:rFonts w:hint="eastAsia" w:ascii="仿宋_GB2312" w:hAnsi="仿宋_GB2312" w:eastAsia="仿宋_GB2312" w:cs="仿宋_GB2312"/>
          <w:spacing w:val="-6"/>
        </w:rPr>
      </w:pPr>
    </w:p>
    <w:p w14:paraId="7524FA10">
      <w:pPr>
        <w:keepNext w:val="0"/>
        <w:keepLines w:val="0"/>
        <w:pageBreakBefore w:val="0"/>
        <w:kinsoku/>
        <w:overflowPunct/>
        <w:topLinePunct w:val="0"/>
        <w:autoSpaceDE/>
        <w:autoSpaceDN/>
        <w:bidi w:val="0"/>
        <w:spacing w:line="560" w:lineRule="exact"/>
        <w:textAlignment w:val="auto"/>
        <w:rPr>
          <w:rFonts w:hint="eastAsia" w:ascii="仿宋_GB2312" w:hAnsi="仿宋_GB2312" w:eastAsia="仿宋_GB2312" w:cs="仿宋_GB2312"/>
          <w:spacing w:val="-6"/>
          <w:sz w:val="32"/>
        </w:rPr>
      </w:pPr>
      <w:r>
        <w:rPr>
          <w:rFonts w:hint="eastAsia" w:ascii="仿宋_GB2312" w:hAnsi="仿宋_GB2312" w:eastAsia="仿宋_GB2312" w:cs="仿宋_GB2312"/>
          <w:spacing w:val="-6"/>
          <w:sz w:val="32"/>
        </w:rPr>
        <w:t>签发领导：</w:t>
      </w:r>
    </w:p>
    <w:p w14:paraId="22A1590C">
      <w:pPr>
        <w:pStyle w:val="5"/>
        <w:keepNext w:val="0"/>
        <w:keepLines w:val="0"/>
        <w:pageBreakBefore w:val="0"/>
        <w:kinsoku/>
        <w:overflowPunct/>
        <w:topLinePunct w:val="0"/>
        <w:autoSpaceDE/>
        <w:autoSpaceDN/>
        <w:bidi w:val="0"/>
        <w:spacing w:line="560" w:lineRule="exact"/>
        <w:textAlignment w:val="auto"/>
        <w:rPr>
          <w:rFonts w:hint="eastAsia" w:ascii="仿宋_GB2312" w:hAnsi="仿宋_GB2312" w:eastAsia="仿宋_GB2312" w:cs="仿宋_GB2312"/>
          <w:b/>
          <w:spacing w:val="-6"/>
        </w:rPr>
      </w:pPr>
      <w:r>
        <w:rPr>
          <w:rFonts w:hint="eastAsia" w:ascii="仿宋_GB2312" w:hAnsi="仿宋_GB2312" w:eastAsia="仿宋_GB2312" w:cs="仿宋_GB2312"/>
          <w:spacing w:val="-6"/>
        </w:rPr>
        <w:t>承办人及电话：</w:t>
      </w:r>
      <w:r>
        <w:rPr>
          <w:rFonts w:hint="eastAsia" w:ascii="仿宋_GB2312" w:hAnsi="仿宋_GB2312" w:eastAsia="仿宋_GB2312" w:cs="仿宋_GB2312"/>
          <w:spacing w:val="-6"/>
          <w:lang w:eastAsia="zh-CN"/>
        </w:rPr>
        <w:t>兰青青</w:t>
      </w:r>
      <w:r>
        <w:rPr>
          <w:rFonts w:hint="eastAsia" w:ascii="仿宋_GB2312" w:hAnsi="仿宋_GB2312" w:eastAsia="仿宋_GB2312" w:cs="仿宋_GB2312"/>
          <w:spacing w:val="-6"/>
          <w:lang w:val="en-US" w:eastAsia="zh-CN"/>
        </w:rPr>
        <w:t xml:space="preserve">  87567872</w:t>
      </w:r>
    </w:p>
    <w:p w14:paraId="54122981">
      <w:pPr>
        <w:keepNext w:val="0"/>
        <w:keepLines w:val="0"/>
        <w:pageBreakBefore w:val="0"/>
        <w:kinsoku/>
        <w:overflowPunct/>
        <w:topLinePunct w:val="0"/>
        <w:autoSpaceDE/>
        <w:autoSpaceDN/>
        <w:bidi w:val="0"/>
        <w:spacing w:line="560" w:lineRule="exact"/>
        <w:textAlignment w:val="auto"/>
        <w:rPr>
          <w:rFonts w:hint="eastAsia" w:ascii="仿宋_GB2312" w:hAnsi="仿宋_GB2312" w:eastAsia="仿宋_GB2312" w:cs="仿宋_GB2312"/>
          <w:b/>
          <w:spacing w:val="-6"/>
          <w:sz w:val="32"/>
        </w:rPr>
      </w:pPr>
      <w:r>
        <w:rPr>
          <w:rFonts w:hint="eastAsia" w:ascii="仿宋_GB2312" w:hAnsi="仿宋_GB2312" w:eastAsia="仿宋_GB2312" w:cs="仿宋_GB2312"/>
          <w:spacing w:val="-6"/>
          <w:sz w:val="32"/>
        </w:rPr>
        <w:t>抄送：区政府政务督查室</w:t>
      </w:r>
    </w:p>
    <w:bookmarkEnd w:id="0"/>
    <w:sectPr>
      <w:pgSz w:w="11906" w:h="16838"/>
      <w:pgMar w:top="2098" w:right="1474" w:bottom="1984" w:left="1588"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Verdana">
    <w:panose1 w:val="020B0604030504040204"/>
    <w:charset w:val="00"/>
    <w:family w:val="roman"/>
    <w:pitch w:val="default"/>
    <w:sig w:usb0="A10006FF" w:usb1="4000205B" w:usb2="00000010" w:usb3="00000000" w:csb0="2000019F" w:csb1="00000000"/>
  </w:font>
  <w:font w:name="方正小标宋_GBK">
    <w:panose1 w:val="03000509000000000000"/>
    <w:charset w:val="86"/>
    <w:family w:val="script"/>
    <w:pitch w:val="default"/>
    <w:sig w:usb0="00000001" w:usb1="080E0000" w:usb2="00000000" w:usb3="00000000" w:csb0="00040000" w:csb1="00000000"/>
  </w:font>
  <w:font w:name="仿宋_GB2312">
    <w:panose1 w:val="02010609030101010101"/>
    <w:charset w:val="86"/>
    <w:family w:val="decorative"/>
    <w:pitch w:val="default"/>
    <w:sig w:usb0="00000001" w:usb1="080E0000" w:usb2="00000000" w:usb3="00000000" w:csb0="00040000" w:csb1="00000000"/>
  </w:font>
  <w:font w:name="楷体_GB2312">
    <w:panose1 w:val="02010609030101010101"/>
    <w:charset w:val="86"/>
    <w:family w:val="decorative"/>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BreakWrappedTables/>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E5NTA5Y2M1NTAxNmMxODQ1N2NmMTdmZjliOWUyOTMifQ=="/>
  </w:docVars>
  <w:rsids>
    <w:rsidRoot w:val="004423A9"/>
    <w:rsid w:val="00022C18"/>
    <w:rsid w:val="00047F2F"/>
    <w:rsid w:val="0006604D"/>
    <w:rsid w:val="0009738F"/>
    <w:rsid w:val="000A3F11"/>
    <w:rsid w:val="000C040A"/>
    <w:rsid w:val="000D0EE3"/>
    <w:rsid w:val="000D31EC"/>
    <w:rsid w:val="000F6CCC"/>
    <w:rsid w:val="00107F1D"/>
    <w:rsid w:val="00113E09"/>
    <w:rsid w:val="00164F5A"/>
    <w:rsid w:val="00177171"/>
    <w:rsid w:val="00181A04"/>
    <w:rsid w:val="00186384"/>
    <w:rsid w:val="001C5C8C"/>
    <w:rsid w:val="001D0C2C"/>
    <w:rsid w:val="00211E2F"/>
    <w:rsid w:val="00223021"/>
    <w:rsid w:val="00226024"/>
    <w:rsid w:val="00237030"/>
    <w:rsid w:val="00247669"/>
    <w:rsid w:val="00250C9E"/>
    <w:rsid w:val="00256381"/>
    <w:rsid w:val="002619FA"/>
    <w:rsid w:val="002621F2"/>
    <w:rsid w:val="002745C9"/>
    <w:rsid w:val="002766B6"/>
    <w:rsid w:val="00293295"/>
    <w:rsid w:val="002D542E"/>
    <w:rsid w:val="00313713"/>
    <w:rsid w:val="0032006F"/>
    <w:rsid w:val="003459F7"/>
    <w:rsid w:val="00353F3C"/>
    <w:rsid w:val="00363ACB"/>
    <w:rsid w:val="00371B2E"/>
    <w:rsid w:val="003754EA"/>
    <w:rsid w:val="003909EF"/>
    <w:rsid w:val="00395DC4"/>
    <w:rsid w:val="003A4FEB"/>
    <w:rsid w:val="003B35CD"/>
    <w:rsid w:val="003C519F"/>
    <w:rsid w:val="003E2C8C"/>
    <w:rsid w:val="003F66FC"/>
    <w:rsid w:val="0042339E"/>
    <w:rsid w:val="004421ED"/>
    <w:rsid w:val="004423A9"/>
    <w:rsid w:val="004478EE"/>
    <w:rsid w:val="00466B4B"/>
    <w:rsid w:val="00477049"/>
    <w:rsid w:val="00482187"/>
    <w:rsid w:val="004A12F1"/>
    <w:rsid w:val="004C1CBB"/>
    <w:rsid w:val="004D56D0"/>
    <w:rsid w:val="004E6912"/>
    <w:rsid w:val="004F065B"/>
    <w:rsid w:val="004F3AD5"/>
    <w:rsid w:val="005667E2"/>
    <w:rsid w:val="0057320B"/>
    <w:rsid w:val="00581945"/>
    <w:rsid w:val="0059356E"/>
    <w:rsid w:val="00593B27"/>
    <w:rsid w:val="00594221"/>
    <w:rsid w:val="005A1080"/>
    <w:rsid w:val="005B162D"/>
    <w:rsid w:val="005D7552"/>
    <w:rsid w:val="005E77DE"/>
    <w:rsid w:val="005F12FA"/>
    <w:rsid w:val="005F605B"/>
    <w:rsid w:val="00602E57"/>
    <w:rsid w:val="00605E52"/>
    <w:rsid w:val="00610F20"/>
    <w:rsid w:val="00634865"/>
    <w:rsid w:val="00665135"/>
    <w:rsid w:val="00673C42"/>
    <w:rsid w:val="006A3AA5"/>
    <w:rsid w:val="006A75F5"/>
    <w:rsid w:val="006F238B"/>
    <w:rsid w:val="006F34F8"/>
    <w:rsid w:val="00705E05"/>
    <w:rsid w:val="0071316E"/>
    <w:rsid w:val="00733F49"/>
    <w:rsid w:val="0076292E"/>
    <w:rsid w:val="007649BD"/>
    <w:rsid w:val="007B7B42"/>
    <w:rsid w:val="007E5109"/>
    <w:rsid w:val="007F7DDB"/>
    <w:rsid w:val="0080713E"/>
    <w:rsid w:val="008413D7"/>
    <w:rsid w:val="0084358B"/>
    <w:rsid w:val="0084773B"/>
    <w:rsid w:val="0085773C"/>
    <w:rsid w:val="00870DB0"/>
    <w:rsid w:val="00897C34"/>
    <w:rsid w:val="00897E99"/>
    <w:rsid w:val="00907258"/>
    <w:rsid w:val="0091417B"/>
    <w:rsid w:val="00920533"/>
    <w:rsid w:val="00927B7C"/>
    <w:rsid w:val="009508A3"/>
    <w:rsid w:val="0098006F"/>
    <w:rsid w:val="00986044"/>
    <w:rsid w:val="0099071A"/>
    <w:rsid w:val="00990F09"/>
    <w:rsid w:val="009937FE"/>
    <w:rsid w:val="0099704B"/>
    <w:rsid w:val="009E0F3C"/>
    <w:rsid w:val="00A324DA"/>
    <w:rsid w:val="00A436BD"/>
    <w:rsid w:val="00A47018"/>
    <w:rsid w:val="00A56F3E"/>
    <w:rsid w:val="00A57F1B"/>
    <w:rsid w:val="00A77C6C"/>
    <w:rsid w:val="00AC233F"/>
    <w:rsid w:val="00AC2D3E"/>
    <w:rsid w:val="00B017E9"/>
    <w:rsid w:val="00B02756"/>
    <w:rsid w:val="00B225E5"/>
    <w:rsid w:val="00B35F1E"/>
    <w:rsid w:val="00B77D6A"/>
    <w:rsid w:val="00B852F8"/>
    <w:rsid w:val="00BA008C"/>
    <w:rsid w:val="00BA19C9"/>
    <w:rsid w:val="00BB4A34"/>
    <w:rsid w:val="00BD3CAA"/>
    <w:rsid w:val="00BE273A"/>
    <w:rsid w:val="00BE3796"/>
    <w:rsid w:val="00BF68A1"/>
    <w:rsid w:val="00C051E8"/>
    <w:rsid w:val="00C0769B"/>
    <w:rsid w:val="00C24DBE"/>
    <w:rsid w:val="00C2569B"/>
    <w:rsid w:val="00C26119"/>
    <w:rsid w:val="00C54744"/>
    <w:rsid w:val="00C57280"/>
    <w:rsid w:val="00C91D99"/>
    <w:rsid w:val="00CB01CC"/>
    <w:rsid w:val="00CC59CA"/>
    <w:rsid w:val="00CD1F29"/>
    <w:rsid w:val="00CD2490"/>
    <w:rsid w:val="00D1075C"/>
    <w:rsid w:val="00D1787F"/>
    <w:rsid w:val="00D21466"/>
    <w:rsid w:val="00D32287"/>
    <w:rsid w:val="00D57C00"/>
    <w:rsid w:val="00D7029A"/>
    <w:rsid w:val="00D90B50"/>
    <w:rsid w:val="00D90EF5"/>
    <w:rsid w:val="00DC654A"/>
    <w:rsid w:val="00DE4373"/>
    <w:rsid w:val="00E014EB"/>
    <w:rsid w:val="00E20AAC"/>
    <w:rsid w:val="00E236A3"/>
    <w:rsid w:val="00E27CBD"/>
    <w:rsid w:val="00E36A07"/>
    <w:rsid w:val="00E40707"/>
    <w:rsid w:val="00E474BA"/>
    <w:rsid w:val="00E61D5E"/>
    <w:rsid w:val="00E70E36"/>
    <w:rsid w:val="00E7397E"/>
    <w:rsid w:val="00E94B62"/>
    <w:rsid w:val="00E961F2"/>
    <w:rsid w:val="00EA0A12"/>
    <w:rsid w:val="00EB2722"/>
    <w:rsid w:val="00F0504F"/>
    <w:rsid w:val="00F0715D"/>
    <w:rsid w:val="00F3673C"/>
    <w:rsid w:val="00F4345A"/>
    <w:rsid w:val="00F7195E"/>
    <w:rsid w:val="00F71F6F"/>
    <w:rsid w:val="00F94CDB"/>
    <w:rsid w:val="00FB79CE"/>
    <w:rsid w:val="00FD0594"/>
    <w:rsid w:val="00FE5E0E"/>
    <w:rsid w:val="175B2E50"/>
    <w:rsid w:val="2BD1695D"/>
    <w:rsid w:val="341145AF"/>
    <w:rsid w:val="34D93801"/>
    <w:rsid w:val="36EE26AB"/>
    <w:rsid w:val="388F544F"/>
    <w:rsid w:val="40CA19CE"/>
    <w:rsid w:val="414623B9"/>
    <w:rsid w:val="41A51B7C"/>
    <w:rsid w:val="4D3E0811"/>
    <w:rsid w:val="58017371"/>
    <w:rsid w:val="5C3C41E3"/>
    <w:rsid w:val="64C7123E"/>
    <w:rsid w:val="67074AAA"/>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qFormat/>
    <w:uiPriority w:val="9"/>
    <w:pPr>
      <w:spacing w:before="0" w:beforeAutospacing="1" w:after="0" w:afterAutospacing="1"/>
      <w:jc w:val="left"/>
    </w:pPr>
    <w:rPr>
      <w:rFonts w:hint="eastAsia" w:ascii="宋体" w:hAnsi="宋体" w:eastAsia="宋体" w:cs="宋体"/>
      <w:b/>
      <w:kern w:val="44"/>
      <w:sz w:val="48"/>
      <w:szCs w:val="48"/>
      <w:lang w:val="en-US" w:eastAsia="zh-CN" w:bidi="ar"/>
    </w:rPr>
  </w:style>
  <w:style w:type="paragraph" w:styleId="2">
    <w:name w:val="heading 2"/>
    <w:basedOn w:val="1"/>
    <w:next w:val="1"/>
    <w:unhideWhenUsed/>
    <w:qFormat/>
    <w:uiPriority w:val="9"/>
    <w:pPr>
      <w:spacing w:before="100" w:beforeAutospacing="1" w:after="100" w:afterAutospacing="1"/>
      <w:jc w:val="left"/>
      <w:outlineLvl w:val="1"/>
    </w:pPr>
    <w:rPr>
      <w:rFonts w:hint="eastAsia" w:ascii="宋体" w:hAnsi="宋体"/>
      <w:b/>
      <w:kern w:val="0"/>
      <w:sz w:val="36"/>
      <w:szCs w:val="36"/>
    </w:rPr>
  </w:style>
  <w:style w:type="paragraph" w:styleId="4">
    <w:name w:val="heading 4"/>
    <w:basedOn w:val="1"/>
    <w:next w:val="1"/>
    <w:unhideWhenUsed/>
    <w:qFormat/>
    <w:uiPriority w:val="9"/>
    <w:pPr>
      <w:spacing w:before="0" w:beforeAutospacing="1" w:after="0" w:afterAutospacing="1" w:line="18" w:lineRule="atLeast"/>
      <w:jc w:val="left"/>
    </w:pPr>
    <w:rPr>
      <w:rFonts w:hint="eastAsia" w:ascii="宋体" w:hAnsi="宋体" w:eastAsia="宋体" w:cs="宋体"/>
      <w:kern w:val="0"/>
      <w:sz w:val="24"/>
      <w:szCs w:val="24"/>
      <w:lang w:val="en-US" w:eastAsia="zh-CN" w:bidi="ar"/>
    </w:rPr>
  </w:style>
  <w:style w:type="character" w:default="1" w:styleId="10">
    <w:name w:val="Default Paragraph Font"/>
    <w:unhideWhenUsed/>
    <w:qFormat/>
    <w:uiPriority w:val="1"/>
  </w:style>
  <w:style w:type="table" w:default="1" w:styleId="9">
    <w:name w:val="Normal Table"/>
    <w:unhideWhenUsed/>
    <w:qFormat/>
    <w:uiPriority w:val="99"/>
    <w:tblPr>
      <w:tblCellMar>
        <w:top w:w="0" w:type="dxa"/>
        <w:left w:w="108" w:type="dxa"/>
        <w:bottom w:w="0" w:type="dxa"/>
        <w:right w:w="108" w:type="dxa"/>
      </w:tblCellMar>
    </w:tblPr>
  </w:style>
  <w:style w:type="paragraph" w:styleId="5">
    <w:name w:val="Date"/>
    <w:basedOn w:val="1"/>
    <w:next w:val="1"/>
    <w:link w:val="12"/>
    <w:semiHidden/>
    <w:qFormat/>
    <w:uiPriority w:val="0"/>
    <w:rPr>
      <w:sz w:val="32"/>
      <w:szCs w:val="20"/>
    </w:rPr>
  </w:style>
  <w:style w:type="paragraph" w:styleId="6">
    <w:name w:val="footer"/>
    <w:basedOn w:val="1"/>
    <w:link w:val="15"/>
    <w:unhideWhenUsed/>
    <w:qFormat/>
    <w:uiPriority w:val="99"/>
    <w:pPr>
      <w:tabs>
        <w:tab w:val="center" w:pos="4153"/>
        <w:tab w:val="right" w:pos="8306"/>
      </w:tabs>
      <w:snapToGrid w:val="0"/>
      <w:jc w:val="left"/>
    </w:pPr>
    <w:rPr>
      <w:sz w:val="18"/>
      <w:szCs w:val="18"/>
    </w:rPr>
  </w:style>
  <w:style w:type="paragraph" w:styleId="7">
    <w:name w:val="header"/>
    <w:basedOn w:val="1"/>
    <w:link w:val="14"/>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Normal (Web)"/>
    <w:basedOn w:val="1"/>
    <w:unhideWhenUsed/>
    <w:qFormat/>
    <w:uiPriority w:val="99"/>
    <w:pPr>
      <w:spacing w:before="100" w:beforeAutospacing="1" w:after="100" w:afterAutospacing="1"/>
      <w:ind w:left="0" w:right="0"/>
      <w:jc w:val="left"/>
    </w:pPr>
    <w:rPr>
      <w:kern w:val="0"/>
      <w:sz w:val="24"/>
      <w:lang w:val="en-US" w:eastAsia="zh-CN" w:bidi="ar"/>
    </w:rPr>
  </w:style>
  <w:style w:type="character" w:styleId="11">
    <w:name w:val="Strong"/>
    <w:basedOn w:val="10"/>
    <w:qFormat/>
    <w:uiPriority w:val="22"/>
    <w:rPr>
      <w:b/>
    </w:rPr>
  </w:style>
  <w:style w:type="character" w:customStyle="1" w:styleId="12">
    <w:name w:val="日期 Char"/>
    <w:basedOn w:val="10"/>
    <w:link w:val="5"/>
    <w:semiHidden/>
    <w:qFormat/>
    <w:uiPriority w:val="0"/>
    <w:rPr>
      <w:rFonts w:ascii="Times New Roman" w:hAnsi="Times New Roman" w:eastAsia="宋体" w:cs="Times New Roman"/>
      <w:sz w:val="32"/>
      <w:szCs w:val="20"/>
    </w:rPr>
  </w:style>
  <w:style w:type="paragraph" w:customStyle="1" w:styleId="13">
    <w:name w:val="List Paragraph"/>
    <w:basedOn w:val="1"/>
    <w:qFormat/>
    <w:uiPriority w:val="34"/>
    <w:pPr>
      <w:ind w:firstLine="420" w:firstLineChars="200"/>
    </w:pPr>
  </w:style>
  <w:style w:type="character" w:customStyle="1" w:styleId="14">
    <w:name w:val="页眉 Char"/>
    <w:basedOn w:val="10"/>
    <w:link w:val="7"/>
    <w:semiHidden/>
    <w:qFormat/>
    <w:uiPriority w:val="99"/>
    <w:rPr>
      <w:rFonts w:ascii="Times New Roman" w:hAnsi="Times New Roman" w:eastAsia="宋体" w:cs="Times New Roman"/>
      <w:sz w:val="18"/>
      <w:szCs w:val="18"/>
    </w:rPr>
  </w:style>
  <w:style w:type="character" w:customStyle="1" w:styleId="15">
    <w:name w:val="页脚 Char"/>
    <w:basedOn w:val="10"/>
    <w:link w:val="6"/>
    <w:semiHidden/>
    <w:qFormat/>
    <w:uiPriority w:val="99"/>
    <w:rPr>
      <w:rFonts w:ascii="Times New Roman" w:hAnsi="Times New Roman" w:eastAsia="宋体" w:cs="Times New Roman"/>
      <w:sz w:val="18"/>
      <w:szCs w:val="18"/>
    </w:rPr>
  </w:style>
  <w:style w:type="character" w:customStyle="1" w:styleId="16">
    <w:name w:val="17"/>
    <w:basedOn w:val="10"/>
    <w:qFormat/>
    <w:uiPriority w:val="0"/>
    <w:rPr>
      <w:rFonts w:ascii="Verdana" w:hAnsi="Verdana" w:cs="Times New Roman"/>
      <w:sz w:val="20"/>
      <w:szCs w:val="20"/>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Sky123.Org</Company>
  <Pages>3</Pages>
  <Words>2106</Words>
  <Characters>2332</Characters>
  <Lines>25</Lines>
  <Paragraphs>7</Paragraphs>
  <TotalTime>2</TotalTime>
  <ScaleCrop>false</ScaleCrop>
  <LinksUpToDate>false</LinksUpToDate>
  <CharactersWithSpaces>3265</CharactersWithSpaces>
  <Application>WPS Office_12.1.0.17857_F1E327BC-269C-435d-A152-05C5408002CA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2019-03-20T04:39:00Z</dcterms:created>
  <dc:creator>牛</dc:creator>
  <cp:lastModifiedBy>Administrator</cp:lastModifiedBy>
  <cp:lastPrinted>2025-03-21T00:52:00Z</cp:lastPrinted>
  <dcterms:modified xsi:type="dcterms:W3CDTF">2025-03-24T03:15:44Z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2052-12.1.0.17857</vt:lpwstr>
  </property>
  <property fmtid="{D5CDD505-2E9C-101B-9397-08002B2CF9AE}" pid="3" name="ICV">
    <vt:lpwstr>EE0FC417577B4AF192D43C3D7C2AE624_12</vt:lpwstr>
  </property>
</Properties>
</file>