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456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Times New Roman" w:eastAsia="黑体" w:cs="Times New Roman"/>
          <w:sz w:val="28"/>
          <w:lang w:val="en-US" w:eastAsia="zh-CN"/>
        </w:rPr>
      </w:pPr>
    </w:p>
    <w:p w14:paraId="1091CF0C">
      <w:pPr>
        <w:keepNext w:val="0"/>
        <w:keepLines w:val="0"/>
        <w:pageBreakBefore w:val="0"/>
        <w:widowControl w:val="0"/>
        <w:kinsoku/>
        <w:wordWrap/>
        <w:overflowPunct/>
        <w:topLinePunct w:val="0"/>
        <w:autoSpaceDE/>
        <w:autoSpaceDN/>
        <w:bidi w:val="0"/>
        <w:adjustRightInd/>
        <w:snapToGrid/>
        <w:spacing w:line="560" w:lineRule="exact"/>
        <w:ind w:left="0" w:firstLine="6720" w:firstLineChars="2400"/>
        <w:textAlignment w:val="auto"/>
        <w:rPr>
          <w:rFonts w:ascii="宋体" w:hAnsi="宋体"/>
          <w:spacing w:val="-10"/>
          <w:sz w:val="44"/>
        </w:rPr>
      </w:pPr>
      <w:r>
        <w:rPr>
          <w:rFonts w:hint="eastAsia" w:ascii="黑体" w:hAnsi="Times New Roman" w:eastAsia="黑体" w:cs="Times New Roman"/>
          <w:sz w:val="28"/>
          <w:lang w:val="en-US" w:eastAsia="zh-CN"/>
        </w:rPr>
        <w:t xml:space="preserve"> </w:t>
      </w:r>
      <w:r>
        <w:rPr>
          <w:rFonts w:hint="eastAsia" w:ascii="黑体" w:hAnsi="Times New Roman" w:eastAsia="黑体" w:cs="Times New Roman"/>
          <w:sz w:val="28"/>
        </w:rPr>
        <w:t>标记：A</w:t>
      </w:r>
    </w:p>
    <w:p w14:paraId="3B06DDF8">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方正小标宋_GBK" w:hAnsi="宋体" w:eastAsia="方正小标宋_GBK"/>
          <w:spacing w:val="-10"/>
          <w:sz w:val="44"/>
        </w:rPr>
      </w:pPr>
    </w:p>
    <w:p w14:paraId="0219E1B4">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方正小标宋_GBK" w:hAnsi="宋体" w:eastAsia="方正小标宋_GBK"/>
          <w:spacing w:val="-10"/>
          <w:sz w:val="44"/>
          <w:lang w:val="en-US" w:eastAsia="zh-CN"/>
        </w:rPr>
      </w:pPr>
      <w:r>
        <w:rPr>
          <w:rFonts w:hint="eastAsia" w:ascii="方正小标宋_GBK" w:hAnsi="宋体" w:eastAsia="方正小标宋_GBK"/>
          <w:spacing w:val="-10"/>
          <w:sz w:val="44"/>
          <w:lang w:eastAsia="zh-CN"/>
        </w:rPr>
        <w:t>青岛市</w:t>
      </w:r>
      <w:r>
        <w:rPr>
          <w:rFonts w:hint="eastAsia" w:ascii="方正小标宋_GBK" w:hAnsi="宋体" w:eastAsia="方正小标宋_GBK"/>
          <w:spacing w:val="-10"/>
          <w:sz w:val="44"/>
        </w:rPr>
        <w:t>即墨区</w:t>
      </w:r>
      <w:r>
        <w:rPr>
          <w:rFonts w:hint="eastAsia" w:ascii="方正小标宋_GBK" w:hAnsi="宋体" w:eastAsia="方正小标宋_GBK"/>
          <w:spacing w:val="-10"/>
          <w:sz w:val="44"/>
          <w:lang w:val="en-US" w:eastAsia="zh-CN"/>
        </w:rPr>
        <w:t>市场监督管理局</w:t>
      </w:r>
    </w:p>
    <w:p w14:paraId="39DF769F">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ascii="方正小标宋_GBK" w:hAnsi="宋体" w:eastAsia="方正小标宋_GBK"/>
          <w:spacing w:val="-10"/>
          <w:sz w:val="44"/>
        </w:rPr>
      </w:pPr>
      <w:r>
        <w:rPr>
          <w:rFonts w:hint="eastAsia" w:ascii="方正小标宋_GBK" w:hAnsi="宋体" w:eastAsia="方正小标宋_GBK"/>
          <w:spacing w:val="-10"/>
          <w:sz w:val="44"/>
        </w:rPr>
        <w:t>关于对区</w:t>
      </w:r>
      <w:r>
        <w:rPr>
          <w:rFonts w:hint="eastAsia" w:ascii="方正小标宋_GBK" w:hAnsi="宋体" w:eastAsia="方正小标宋_GBK"/>
          <w:spacing w:val="-10"/>
          <w:sz w:val="44"/>
          <w:lang w:val="en-US" w:eastAsia="zh-CN"/>
        </w:rPr>
        <w:t>十九</w:t>
      </w:r>
      <w:r>
        <w:rPr>
          <w:rFonts w:hint="eastAsia" w:ascii="方正小标宋_GBK" w:hAnsi="宋体" w:eastAsia="方正小标宋_GBK"/>
          <w:spacing w:val="-10"/>
          <w:sz w:val="44"/>
        </w:rPr>
        <w:t>届人大</w:t>
      </w:r>
      <w:r>
        <w:rPr>
          <w:rFonts w:hint="eastAsia" w:ascii="方正小标宋_GBK" w:hAnsi="宋体" w:eastAsia="方正小标宋_GBK"/>
          <w:spacing w:val="-10"/>
          <w:sz w:val="44"/>
          <w:lang w:val="en-US" w:eastAsia="zh-CN"/>
        </w:rPr>
        <w:t>四</w:t>
      </w:r>
      <w:r>
        <w:rPr>
          <w:rFonts w:hint="eastAsia" w:ascii="方正小标宋_GBK" w:hAnsi="宋体" w:eastAsia="方正小标宋_GBK"/>
          <w:spacing w:val="-10"/>
          <w:sz w:val="44"/>
        </w:rPr>
        <w:t>次会议第</w:t>
      </w:r>
      <w:r>
        <w:rPr>
          <w:rFonts w:hint="eastAsia" w:ascii="方正小标宋_GBK" w:hAnsi="宋体" w:eastAsia="方正小标宋_GBK"/>
          <w:spacing w:val="-10"/>
          <w:sz w:val="44"/>
          <w:lang w:val="en-US" w:eastAsia="zh-CN"/>
        </w:rPr>
        <w:t>25</w:t>
      </w:r>
      <w:r>
        <w:rPr>
          <w:rFonts w:hint="eastAsia" w:ascii="方正小标宋_GBK" w:hAnsi="宋体" w:eastAsia="方正小标宋_GBK"/>
          <w:spacing w:val="-10"/>
          <w:sz w:val="44"/>
        </w:rPr>
        <w:t>号</w:t>
      </w:r>
    </w:p>
    <w:p w14:paraId="1607A94E">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ascii="方正小标宋_GBK" w:hAnsi="宋体" w:eastAsia="方正小标宋_GBK"/>
          <w:spacing w:val="-10"/>
          <w:sz w:val="44"/>
        </w:rPr>
      </w:pPr>
      <w:r>
        <w:rPr>
          <w:rFonts w:hint="eastAsia" w:ascii="方正小标宋_GBK" w:hAnsi="宋体" w:eastAsia="方正小标宋_GBK"/>
          <w:spacing w:val="-10"/>
          <w:sz w:val="44"/>
        </w:rPr>
        <w:t>建议的答复</w:t>
      </w:r>
    </w:p>
    <w:p w14:paraId="527FBCE7">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pPr>
    </w:p>
    <w:p w14:paraId="36E5A08D">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赵成欣</w:t>
      </w:r>
      <w:r>
        <w:rPr>
          <w:rFonts w:hint="eastAsia" w:ascii="仿宋_GB2312" w:hAnsi="仿宋_GB2312" w:eastAsia="仿宋_GB2312" w:cs="仿宋_GB2312"/>
          <w:spacing w:val="-6"/>
          <w:sz w:val="32"/>
          <w:szCs w:val="32"/>
        </w:rPr>
        <w:t>代表：</w:t>
      </w:r>
    </w:p>
    <w:p w14:paraId="2797D4D8">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 xml:space="preserve">    您提出的“关于清理整治学校周边商贩无序经营问题的建议”收悉。现答复如下：</w:t>
      </w:r>
    </w:p>
    <w:p w14:paraId="0234477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firstLine="621"/>
        <w:jc w:val="both"/>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学校周边禁止设立食品摊点的相关规定</w:t>
      </w:r>
    </w:p>
    <w:p w14:paraId="385190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 w:eastAsia="仿宋_GB2312" w:cs="Times New Roman"/>
          <w:kern w:val="0"/>
          <w:sz w:val="32"/>
          <w:szCs w:val="32"/>
          <w:lang w:val="en-US" w:eastAsia="zh-CN"/>
        </w:rPr>
      </w:pPr>
      <w:r>
        <w:rPr>
          <w:rFonts w:hint="eastAsia" w:ascii="仿宋_GB2312" w:hAnsi="仿宋" w:eastAsia="仿宋_GB2312" w:cs="Times New Roman"/>
          <w:kern w:val="0"/>
          <w:sz w:val="32"/>
          <w:szCs w:val="32"/>
          <w:lang w:val="en-US" w:eastAsia="zh-CN"/>
        </w:rPr>
        <w:t>《山东省食品小作坊小餐饮和食品摊点管理条例》第二十七条规定：“乡镇人民政府、街道办事处或者城市管理部门应当依据县（市、区）人民政府确定的职责，按照科学规划、合理布局、方便公众的原则，划定食品摊点经营区域、经营时段，确定幼儿园、中小学校周边禁止食品摊点经营的区域，并向社会公布。”</w:t>
      </w:r>
    </w:p>
    <w:p w14:paraId="3FDEEAA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firstLine="621"/>
        <w:jc w:val="both"/>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我局在学校周边商贩经营整治方面开展的主要工作</w:t>
      </w:r>
    </w:p>
    <w:p w14:paraId="3EDC11AA">
      <w:pPr>
        <w:keepNext w:val="0"/>
        <w:keepLines w:val="0"/>
        <w:pageBreakBefore w:val="0"/>
        <w:widowControl/>
        <w:suppressLineNumbers w:val="0"/>
        <w:kinsoku/>
        <w:wordWrap/>
        <w:overflowPunct/>
        <w:topLinePunct w:val="0"/>
        <w:bidi w:val="0"/>
        <w:snapToGrid/>
        <w:spacing w:line="560" w:lineRule="exact"/>
        <w:ind w:left="0" w:leftChars="0" w:right="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 w:eastAsia="仿宋_GB2312" w:cs="Times New Roman"/>
          <w:b/>
          <w:bCs/>
          <w:kern w:val="0"/>
          <w:sz w:val="32"/>
          <w:szCs w:val="32"/>
          <w:lang w:val="en-US" w:eastAsia="zh-CN"/>
        </w:rPr>
        <w:t>一是区食药安办综合协调方面。</w:t>
      </w:r>
      <w:r>
        <w:rPr>
          <w:rFonts w:hint="eastAsia" w:ascii="仿宋_GB2312" w:hAnsi="仿宋" w:eastAsia="仿宋_GB2312" w:cs="Times New Roman"/>
          <w:kern w:val="0"/>
          <w:sz w:val="32"/>
          <w:szCs w:val="32"/>
          <w:lang w:val="en-US" w:eastAsia="zh-CN"/>
        </w:rPr>
        <w:t>我局高度重视学校周边经营秩序整治工作。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充分</w:t>
      </w:r>
      <w:r>
        <w:rPr>
          <w:rFonts w:hint="eastAsia" w:ascii="仿宋_GB2312" w:hAnsi="仿宋_GB2312" w:eastAsia="仿宋_GB2312" w:cs="仿宋_GB2312"/>
          <w:color w:val="000000" w:themeColor="text1"/>
          <w:sz w:val="32"/>
          <w:szCs w:val="32"/>
          <w14:textFill>
            <w14:solidFill>
              <w14:schemeClr w14:val="tx1"/>
            </w14:solidFill>
          </w14:textFill>
        </w:rPr>
        <w:t>发挥区食药安办综合协调作用，督促镇街</w:t>
      </w:r>
      <w:r>
        <w:rPr>
          <w:rFonts w:hint="eastAsia" w:ascii="仿宋_GB2312" w:hAnsi="仿宋_GB2312" w:eastAsia="仿宋_GB2312" w:cs="仿宋_GB2312"/>
          <w:color w:val="000000" w:themeColor="text1"/>
          <w:sz w:val="32"/>
          <w:szCs w:val="32"/>
          <w:lang w:eastAsia="zh-CN"/>
          <w14:textFill>
            <w14:solidFill>
              <w14:schemeClr w14:val="tx1"/>
            </w14:solidFill>
          </w14:textFill>
        </w:rPr>
        <w:t>认真落实食品摊点备案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lang w:eastAsia="zh-CN"/>
          <w14:textFill>
            <w14:solidFill>
              <w14:schemeClr w14:val="tx1"/>
            </w14:solidFill>
          </w14:textFill>
        </w:rPr>
        <w:t>管理工作，</w:t>
      </w:r>
      <w:r>
        <w:rPr>
          <w:rFonts w:hint="eastAsia" w:ascii="仿宋_GB2312" w:hAnsi="仿宋_GB2312" w:eastAsia="仿宋_GB2312" w:cs="仿宋_GB2312"/>
          <w:color w:val="000000" w:themeColor="text1"/>
          <w:sz w:val="32"/>
          <w:szCs w:val="32"/>
          <w14:textFill>
            <w14:solidFill>
              <w14:schemeClr w14:val="tx1"/>
            </w14:solidFill>
          </w14:textFill>
        </w:rPr>
        <w:t>严格落实食品摊点风险隐患排查和信息通报等各项制度</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发现</w:t>
      </w:r>
      <w:r>
        <w:rPr>
          <w:rFonts w:hint="eastAsia" w:ascii="仿宋_GB2312" w:eastAsia="仿宋_GB2312"/>
          <w:color w:val="000000" w:themeColor="text1"/>
          <w:sz w:val="32"/>
          <w:szCs w:val="32"/>
          <w:lang w:val="en-US" w:eastAsia="zh-CN"/>
          <w14:textFill>
            <w14:solidFill>
              <w14:schemeClr w14:val="tx1"/>
            </w14:solidFill>
          </w14:textFill>
        </w:rPr>
        <w:t>幼儿园、中小学校周边禁止区域经营的</w:t>
      </w:r>
      <w:r>
        <w:rPr>
          <w:rFonts w:hint="eastAsia" w:ascii="仿宋_GB2312" w:eastAsia="仿宋_GB2312"/>
          <w:color w:val="000000" w:themeColor="text1"/>
          <w:sz w:val="32"/>
          <w:szCs w:val="32"/>
          <w:lang w:eastAsia="zh-CN"/>
          <w14:textFill>
            <w14:solidFill>
              <w14:schemeClr w14:val="tx1"/>
            </w14:solidFill>
          </w14:textFill>
        </w:rPr>
        <w:t>食品摊点及时通报综合行政执法部门</w:t>
      </w:r>
      <w:r>
        <w:rPr>
          <w:rFonts w:hint="eastAsia" w:ascii="仿宋_GB2312" w:hAnsi="仿宋_GB2312" w:eastAsia="仿宋_GB2312" w:cs="仿宋_GB2312"/>
          <w:sz w:val="32"/>
          <w:szCs w:val="32"/>
          <w:lang w:val="en-US" w:eastAsia="zh-CN"/>
        </w:rPr>
        <w:t>。</w:t>
      </w:r>
      <w:r>
        <w:rPr>
          <w:rFonts w:hint="eastAsia" w:ascii="仿宋_GB2312" w:eastAsia="仿宋_GB2312"/>
          <w:color w:val="000000" w:themeColor="text1"/>
          <w:sz w:val="32"/>
          <w:szCs w:val="32"/>
          <w:lang w:eastAsia="zh-CN"/>
          <w14:textFill>
            <w14:solidFill>
              <w14:schemeClr w14:val="tx1"/>
            </w14:solidFill>
          </w14:textFill>
        </w:rPr>
        <w:t>充分发挥食品安全协管员、网格员作用，加强对食品安全协管员或者信息员的食品安全法律法规和专业知识培训，提高其发现食品摊点食品安全隐患能力。</w:t>
      </w:r>
      <w:r>
        <w:rPr>
          <w:rFonts w:hint="eastAsia" w:ascii="仿宋_GB2312" w:hAnsi="仿宋_GB2312" w:eastAsia="仿宋_GB2312" w:cs="仿宋_GB2312"/>
          <w:b/>
          <w:bCs/>
          <w:sz w:val="32"/>
          <w:szCs w:val="32"/>
          <w:lang w:val="en-US" w:eastAsia="zh-CN"/>
        </w:rPr>
        <w:t>二是强化监管力度方面。</w:t>
      </w:r>
      <w:r>
        <w:rPr>
          <w:rFonts w:hint="eastAsia" w:ascii="仿宋_GB2312" w:hAnsi="仿宋_GB2312" w:eastAsia="仿宋_GB2312" w:cs="仿宋_GB2312"/>
          <w:b w:val="0"/>
          <w:bCs w:val="0"/>
          <w:kern w:val="0"/>
          <w:sz w:val="32"/>
          <w:szCs w:val="32"/>
          <w:lang w:val="en-US" w:eastAsia="zh-CN"/>
        </w:rPr>
        <w:t>将全区校园周边136家食品销售单位的风险等级划为D级，建立监管台账、录入智慧监管系统并标注“学校周边食品销售单位”重点监管标识；严格按照监管网格明确的人员和职责开展日常监管和风险排查，下达责令整改11家，督促整改食品安全问题20余项，发放张贴食品安全承诺书136份，督促学校周边食品销售者在经营场所显著位置摆放“禁止向未成年人销售烟酒”公示牌136份。</w:t>
      </w:r>
      <w:r>
        <w:rPr>
          <w:rFonts w:hint="eastAsia" w:ascii="仿宋_GB2312" w:hAnsi="仿宋_GB2312" w:eastAsia="仿宋_GB2312" w:cs="仿宋_GB2312"/>
          <w:b/>
          <w:bCs/>
          <w:kern w:val="0"/>
          <w:sz w:val="32"/>
          <w:szCs w:val="32"/>
          <w:lang w:val="en-US" w:eastAsia="zh-CN"/>
        </w:rPr>
        <w:t>三是部门协作方面。</w:t>
      </w:r>
      <w:r>
        <w:rPr>
          <w:rFonts w:hint="eastAsia" w:ascii="仿宋_GB2312" w:hAnsi="仿宋_GB2312" w:eastAsia="仿宋_GB2312" w:cs="仿宋_GB2312"/>
          <w:sz w:val="32"/>
          <w:szCs w:val="32"/>
          <w:lang w:val="en-US" w:eastAsia="zh-CN"/>
        </w:rPr>
        <w:t>联合区综合执法、教体等部门，开展校园周边食品安全及经营秩序联合整治行动,全面摸排校园周边食品安全风险隐患，对城区19所中小学周边进行了规范检查，累计检查食品销售单位59家次、学生用品销售单位30余家次，清理占道经营流动商贩30余户，并通过学校微信群广泛发放《致学生和家长的一封信》，有效规范了校园周边市场秩序。</w:t>
      </w:r>
    </w:p>
    <w:p w14:paraId="0FAB7459">
      <w:pPr>
        <w:keepNext w:val="0"/>
        <w:keepLines w:val="0"/>
        <w:pageBreakBefore w:val="0"/>
        <w:widowControl w:val="0"/>
        <w:kinsoku/>
        <w:wordWrap/>
        <w:overflowPunct/>
        <w:topLinePunct w:val="0"/>
        <w:autoSpaceDE/>
        <w:autoSpaceDN/>
        <w:bidi w:val="0"/>
        <w:adjustRightInd/>
        <w:snapToGrid/>
        <w:spacing w:line="560" w:lineRule="exact"/>
        <w:ind w:left="0" w:leftChars="0" w:right="0" w:firstLine="621"/>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下一步，我局将继续深化学校周边经营秩序整治工作。一旦发现</w:t>
      </w:r>
      <w:r>
        <w:rPr>
          <w:rFonts w:hint="eastAsia" w:ascii="仿宋_GB2312" w:eastAsia="仿宋_GB2312"/>
          <w:color w:val="000000" w:themeColor="text1"/>
          <w:sz w:val="32"/>
          <w:szCs w:val="32"/>
          <w:lang w:val="en-US" w:eastAsia="zh-CN"/>
          <w14:textFill>
            <w14:solidFill>
              <w14:schemeClr w14:val="tx1"/>
            </w14:solidFill>
          </w14:textFill>
        </w:rPr>
        <w:t>幼儿园、中小学校周边禁止区域经营的</w:t>
      </w:r>
      <w:r>
        <w:rPr>
          <w:rFonts w:hint="eastAsia" w:ascii="仿宋_GB2312" w:eastAsia="仿宋_GB2312"/>
          <w:color w:val="000000" w:themeColor="text1"/>
          <w:sz w:val="32"/>
          <w:szCs w:val="32"/>
          <w:lang w:eastAsia="zh-CN"/>
          <w14:textFill>
            <w14:solidFill>
              <w14:schemeClr w14:val="tx1"/>
            </w14:solidFill>
          </w14:textFill>
        </w:rPr>
        <w:t>食品摊点</w:t>
      </w:r>
      <w:r>
        <w:rPr>
          <w:rFonts w:hint="eastAsia" w:ascii="仿宋_GB2312" w:eastAsia="仿宋_GB2312"/>
          <w:color w:val="000000" w:themeColor="text1"/>
          <w:sz w:val="32"/>
          <w:szCs w:val="32"/>
          <w:lang w:val="en-US" w:eastAsia="zh-CN"/>
          <w14:textFill>
            <w14:solidFill>
              <w14:schemeClr w14:val="tx1"/>
            </w14:solidFill>
          </w14:textFill>
        </w:rPr>
        <w:t>及时告知</w:t>
      </w:r>
      <w:r>
        <w:rPr>
          <w:rFonts w:hint="eastAsia" w:ascii="仿宋_GB2312" w:eastAsia="仿宋_GB2312"/>
          <w:color w:val="000000" w:themeColor="text1"/>
          <w:sz w:val="32"/>
          <w:szCs w:val="32"/>
          <w:lang w:eastAsia="zh-CN"/>
          <w14:textFill>
            <w14:solidFill>
              <w14:schemeClr w14:val="tx1"/>
            </w14:solidFill>
          </w14:textFill>
        </w:rPr>
        <w:t>综合行政执法部门</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对在划定区域、经营时段内经营的摊点和校园周边食品销售单位，检查同时加强法律法规讲解，</w:t>
      </w:r>
      <w:r>
        <w:rPr>
          <w:rFonts w:hint="default" w:ascii="仿宋_GB2312" w:hAnsi="仿宋_GB2312" w:eastAsia="仿宋_GB2312" w:cs="仿宋_GB2312"/>
          <w:sz w:val="32"/>
          <w:szCs w:val="32"/>
          <w:lang w:val="en-US" w:eastAsia="zh-CN"/>
        </w:rPr>
        <w:t>确保</w:t>
      </w:r>
      <w:r>
        <w:rPr>
          <w:rFonts w:hint="eastAsia" w:ascii="仿宋_GB2312" w:hAnsi="仿宋_GB2312" w:eastAsia="仿宋_GB2312" w:cs="仿宋_GB2312"/>
          <w:sz w:val="32"/>
          <w:szCs w:val="32"/>
          <w:lang w:val="en-US" w:eastAsia="zh-CN"/>
        </w:rPr>
        <w:t>其</w:t>
      </w:r>
      <w:r>
        <w:rPr>
          <w:rFonts w:hint="default" w:ascii="仿宋_GB2312" w:hAnsi="仿宋_GB2312" w:eastAsia="仿宋_GB2312" w:cs="仿宋_GB2312"/>
          <w:sz w:val="32"/>
          <w:szCs w:val="32"/>
          <w:lang w:val="en-US" w:eastAsia="zh-CN"/>
        </w:rPr>
        <w:t>合法合规经营</w:t>
      </w:r>
      <w:r>
        <w:rPr>
          <w:rFonts w:hint="eastAsia" w:ascii="仿宋_GB2312" w:hAnsi="仿宋_GB2312" w:eastAsia="仿宋_GB2312" w:cs="仿宋_GB2312"/>
          <w:sz w:val="32"/>
          <w:szCs w:val="32"/>
          <w:lang w:val="en-US" w:eastAsia="zh-CN"/>
        </w:rPr>
        <w:t>，</w:t>
      </w:r>
      <w:r>
        <w:rPr>
          <w:rFonts w:hint="eastAsia" w:ascii="仿宋_GB2312" w:eastAsia="仿宋_GB2312"/>
          <w:spacing w:val="-6"/>
          <w:sz w:val="32"/>
          <w:szCs w:val="32"/>
        </w:rPr>
        <w:t>守护广大中小学生饮食安全</w:t>
      </w:r>
      <w:r>
        <w:rPr>
          <w:rFonts w:hint="default" w:ascii="仿宋_GB2312" w:hAnsi="仿宋_GB2312" w:eastAsia="仿宋_GB2312" w:cs="仿宋_GB2312"/>
          <w:sz w:val="32"/>
          <w:szCs w:val="32"/>
          <w:lang w:val="en-US" w:eastAsia="zh-CN"/>
        </w:rPr>
        <w:t>。</w:t>
      </w:r>
    </w:p>
    <w:p w14:paraId="6949A345">
      <w:pPr>
        <w:pStyle w:val="11"/>
        <w:keepNext w:val="0"/>
        <w:keepLines w:val="0"/>
        <w:pageBreakBefore w:val="0"/>
        <w:kinsoku/>
        <w:wordWrap/>
        <w:overflowPunct/>
        <w:topLinePunct w:val="0"/>
        <w:bidi w:val="0"/>
        <w:snapToGrid/>
        <w:spacing w:line="560" w:lineRule="exact"/>
        <w:ind w:left="0" w:leftChars="0" w:right="0"/>
        <w:textAlignment w:val="auto"/>
        <w:rPr>
          <w:rFonts w:hint="eastAsia" w:ascii="仿宋_GB2312" w:hAnsi="仿宋_GB2312" w:eastAsia="仿宋_GB2312" w:cs="仿宋_GB2312"/>
          <w:sz w:val="32"/>
          <w:szCs w:val="32"/>
          <w:lang w:val="en-US" w:eastAsia="zh-CN"/>
        </w:rPr>
      </w:pPr>
    </w:p>
    <w:p w14:paraId="3D4A8056">
      <w:pPr>
        <w:pStyle w:val="11"/>
        <w:keepNext w:val="0"/>
        <w:keepLines w:val="0"/>
        <w:pageBreakBefore w:val="0"/>
        <w:kinsoku/>
        <w:wordWrap/>
        <w:overflowPunct/>
        <w:topLinePunct w:val="0"/>
        <w:bidi w:val="0"/>
        <w:snapToGrid/>
        <w:spacing w:line="560" w:lineRule="exact"/>
        <w:ind w:left="0" w:leftChars="0" w:right="0"/>
        <w:textAlignment w:val="auto"/>
        <w:rPr>
          <w:rFonts w:hint="eastAsia" w:ascii="仿宋_GB2312" w:hAnsi="仿宋_GB2312" w:eastAsia="仿宋_GB2312" w:cs="仿宋_GB2312"/>
          <w:sz w:val="32"/>
          <w:szCs w:val="32"/>
          <w:lang w:val="en-US" w:eastAsia="zh-CN"/>
        </w:rPr>
      </w:pPr>
    </w:p>
    <w:p w14:paraId="682BC0B6">
      <w:pPr>
        <w:keepNext w:val="0"/>
        <w:keepLines w:val="0"/>
        <w:pageBreakBefore w:val="0"/>
        <w:kinsoku/>
        <w:wordWrap/>
        <w:overflowPunct/>
        <w:topLinePunct w:val="0"/>
        <w:bidi w:val="0"/>
        <w:snapToGrid/>
        <w:spacing w:line="560" w:lineRule="exact"/>
        <w:ind w:left="5257" w:leftChars="0" w:right="0" w:hanging="5257" w:hangingChars="17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 xml:space="preserve">                     </w:t>
      </w:r>
      <w:r>
        <w:rPr>
          <w:rFonts w:hint="eastAsia" w:ascii="仿宋_GB2312" w:hAnsi="仿宋_GB2312" w:eastAsia="仿宋_GB2312" w:cs="仿宋_GB2312"/>
          <w:b/>
          <w:spacing w:val="-6"/>
          <w:sz w:val="32"/>
          <w:szCs w:val="32"/>
          <w:lang w:val="en-US" w:eastAsia="zh-CN"/>
        </w:rPr>
        <w:t xml:space="preserve">      </w:t>
      </w:r>
      <w:r>
        <w:rPr>
          <w:rFonts w:hint="eastAsia" w:ascii="仿宋_GB2312" w:hAnsi="仿宋_GB2312" w:eastAsia="仿宋_GB2312" w:cs="仿宋_GB2312"/>
          <w:spacing w:val="-6"/>
          <w:sz w:val="32"/>
          <w:szCs w:val="32"/>
          <w:lang w:val="en-US" w:eastAsia="zh-CN"/>
        </w:rPr>
        <w:t xml:space="preserve">青岛市即墨区市场监督管理局 </w:t>
      </w:r>
      <w:r>
        <w:rPr>
          <w:rFonts w:hint="eastAsia" w:ascii="仿宋_GB2312" w:hAnsi="仿宋_GB2312" w:eastAsia="仿宋_GB2312" w:cs="仿宋_GB2312"/>
          <w:spacing w:val="-6"/>
          <w:sz w:val="32"/>
          <w:szCs w:val="32"/>
        </w:rPr>
        <w:t xml:space="preserve">                              </w:t>
      </w:r>
    </w:p>
    <w:p w14:paraId="750D10F3">
      <w:pPr>
        <w:keepNext w:val="0"/>
        <w:keepLines w:val="0"/>
        <w:pageBreakBefore w:val="0"/>
        <w:kinsoku/>
        <w:wordWrap/>
        <w:overflowPunct/>
        <w:topLinePunct w:val="0"/>
        <w:bidi w:val="0"/>
        <w:snapToGrid/>
        <w:spacing w:line="560" w:lineRule="exact"/>
        <w:ind w:left="0" w:leftChars="0" w:right="0" w:firstLine="4620" w:firstLineChars="1500"/>
        <w:textAlignment w:val="auto"/>
        <w:rPr>
          <w:rFonts w:hint="eastAsia"/>
        </w:rPr>
      </w:pPr>
      <w:r>
        <w:rPr>
          <w:rFonts w:hint="eastAsia" w:ascii="仿宋_GB2312" w:hAnsi="仿宋_GB2312" w:eastAsia="仿宋_GB2312" w:cs="仿宋_GB2312"/>
          <w:spacing w:val="-6"/>
          <w:sz w:val="32"/>
          <w:szCs w:val="32"/>
          <w:lang w:val="en-US" w:eastAsia="zh-CN"/>
        </w:rPr>
        <w:t>2025</w:t>
      </w:r>
      <w:r>
        <w:rPr>
          <w:rFonts w:hint="eastAsia" w:ascii="仿宋_GB2312" w:hAnsi="仿宋_GB2312" w:eastAsia="仿宋_GB2312" w:cs="仿宋_GB2312"/>
          <w:spacing w:val="-6"/>
          <w:sz w:val="32"/>
          <w:szCs w:val="32"/>
        </w:rPr>
        <w:t>年</w:t>
      </w:r>
      <w:r>
        <w:rPr>
          <w:rFonts w:hint="eastAsia" w:ascii="仿宋_GB2312" w:hAnsi="仿宋_GB2312" w:eastAsia="仿宋_GB2312" w:cs="仿宋_GB2312"/>
          <w:spacing w:val="-6"/>
          <w:sz w:val="32"/>
          <w:szCs w:val="32"/>
          <w:lang w:val="en-US" w:eastAsia="zh-CN"/>
        </w:rPr>
        <w:t>3月19日</w:t>
      </w:r>
    </w:p>
    <w:p w14:paraId="1F9698B1">
      <w:pPr>
        <w:keepNext w:val="0"/>
        <w:keepLines w:val="0"/>
        <w:pageBreakBefore w:val="0"/>
        <w:kinsoku/>
        <w:wordWrap/>
        <w:overflowPunct/>
        <w:topLinePunct w:val="0"/>
        <w:bidi w:val="0"/>
        <w:snapToGrid/>
        <w:spacing w:line="560" w:lineRule="exact"/>
        <w:ind w:left="0" w:leftChars="0" w:right="0"/>
        <w:textAlignment w:val="auto"/>
        <w:rPr>
          <w:rFonts w:hint="eastAsia" w:ascii="仿宋_GB2312" w:hAnsi="仿宋_GB2312" w:eastAsia="仿宋_GB2312" w:cs="仿宋_GB2312"/>
          <w:spacing w:val="-6"/>
          <w:sz w:val="32"/>
          <w:szCs w:val="32"/>
        </w:rPr>
      </w:pPr>
    </w:p>
    <w:p w14:paraId="02D314BD">
      <w:pPr>
        <w:keepNext w:val="0"/>
        <w:keepLines w:val="0"/>
        <w:pageBreakBefore w:val="0"/>
        <w:kinsoku/>
        <w:wordWrap/>
        <w:overflowPunct/>
        <w:topLinePunct w:val="0"/>
        <w:bidi w:val="0"/>
        <w:snapToGrid/>
        <w:spacing w:line="560" w:lineRule="exact"/>
        <w:ind w:left="0" w:leftChars="0" w:right="0"/>
        <w:textAlignment w:val="auto"/>
        <w:rPr>
          <w:rFonts w:hint="eastAsia" w:ascii="仿宋_GB2312" w:hAnsi="仿宋_GB2312" w:eastAsia="仿宋_GB2312" w:cs="仿宋_GB2312"/>
          <w:spacing w:val="-6"/>
          <w:sz w:val="32"/>
          <w:szCs w:val="32"/>
        </w:rPr>
      </w:pPr>
    </w:p>
    <w:p w14:paraId="07B48E0A">
      <w:pPr>
        <w:keepNext w:val="0"/>
        <w:keepLines w:val="0"/>
        <w:pageBreakBefore w:val="0"/>
        <w:kinsoku/>
        <w:wordWrap/>
        <w:overflowPunct/>
        <w:topLinePunct w:val="0"/>
        <w:bidi w:val="0"/>
        <w:snapToGrid/>
        <w:spacing w:line="560" w:lineRule="exact"/>
        <w:ind w:left="0" w:leftChars="0" w:right="0"/>
        <w:textAlignment w:val="auto"/>
        <w:rPr>
          <w:rFonts w:hint="eastAsia" w:ascii="仿宋_GB2312" w:hAnsi="仿宋_GB2312" w:eastAsia="仿宋_GB2312" w:cs="仿宋_GB2312"/>
          <w:spacing w:val="-6"/>
          <w:sz w:val="32"/>
          <w:szCs w:val="32"/>
        </w:rPr>
      </w:pPr>
    </w:p>
    <w:p w14:paraId="6DC90F3F">
      <w:pPr>
        <w:keepNext w:val="0"/>
        <w:keepLines w:val="0"/>
        <w:pageBreakBefore w:val="0"/>
        <w:kinsoku/>
        <w:wordWrap/>
        <w:overflowPunct/>
        <w:topLinePunct w:val="0"/>
        <w:bidi w:val="0"/>
        <w:snapToGrid/>
        <w:spacing w:line="560" w:lineRule="exact"/>
        <w:ind w:left="0" w:leftChars="0" w:right="0"/>
        <w:textAlignment w:val="auto"/>
        <w:rPr>
          <w:rFonts w:hint="eastAsia" w:ascii="仿宋_GB2312" w:hAnsi="仿宋_GB2312" w:eastAsia="仿宋_GB2312" w:cs="仿宋_GB2312"/>
          <w:spacing w:val="-6"/>
          <w:sz w:val="32"/>
          <w:szCs w:val="32"/>
        </w:rPr>
      </w:pPr>
      <w:bookmarkStart w:id="0" w:name="_GoBack"/>
      <w:bookmarkEnd w:id="0"/>
      <w:r>
        <w:rPr>
          <w:rFonts w:hint="eastAsia" w:ascii="仿宋_GB2312" w:hAnsi="仿宋_GB2312" w:eastAsia="仿宋_GB2312" w:cs="仿宋_GB2312"/>
          <w:spacing w:val="-6"/>
          <w:sz w:val="32"/>
          <w:szCs w:val="32"/>
        </w:rPr>
        <w:t>签发领导：</w:t>
      </w:r>
    </w:p>
    <w:p w14:paraId="17B201C2">
      <w:pPr>
        <w:pStyle w:val="5"/>
        <w:keepNext w:val="0"/>
        <w:keepLines w:val="0"/>
        <w:pageBreakBefore w:val="0"/>
        <w:kinsoku/>
        <w:wordWrap/>
        <w:overflowPunct/>
        <w:topLinePunct w:val="0"/>
        <w:bidi w:val="0"/>
        <w:snapToGrid/>
        <w:spacing w:line="560" w:lineRule="exact"/>
        <w:ind w:left="0" w:leftChars="0" w:right="0"/>
        <w:textAlignment w:val="auto"/>
        <w:rPr>
          <w:rFonts w:hint="eastAsia" w:ascii="仿宋_GB2312" w:hAnsi="仿宋_GB2312" w:eastAsia="仿宋_GB2312" w:cs="仿宋_GB2312"/>
          <w:b/>
          <w:spacing w:val="-6"/>
          <w:sz w:val="32"/>
          <w:szCs w:val="32"/>
          <w:lang w:val="en-US" w:eastAsia="zh-CN"/>
        </w:rPr>
      </w:pPr>
      <w:r>
        <w:rPr>
          <w:rFonts w:hint="eastAsia" w:ascii="仿宋_GB2312" w:hAnsi="仿宋_GB2312" w:eastAsia="仿宋_GB2312" w:cs="仿宋_GB2312"/>
          <w:spacing w:val="-6"/>
          <w:sz w:val="32"/>
          <w:szCs w:val="32"/>
        </w:rPr>
        <w:t>承办人及电话：</w:t>
      </w:r>
      <w:r>
        <w:rPr>
          <w:rFonts w:hint="eastAsia" w:ascii="仿宋_GB2312" w:hAnsi="仿宋_GB2312" w:eastAsia="仿宋_GB2312" w:cs="仿宋_GB2312"/>
          <w:spacing w:val="-6"/>
          <w:sz w:val="32"/>
          <w:szCs w:val="32"/>
          <w:lang w:val="en-US" w:eastAsia="zh-CN"/>
        </w:rPr>
        <w:t>刘海波 87567871</w:t>
      </w:r>
    </w:p>
    <w:p w14:paraId="087A7061">
      <w:pPr>
        <w:pStyle w:val="5"/>
        <w:keepNext w:val="0"/>
        <w:keepLines w:val="0"/>
        <w:pageBreakBefore w:val="0"/>
        <w:kinsoku/>
        <w:wordWrap/>
        <w:overflowPunct/>
        <w:topLinePunct w:val="0"/>
        <w:bidi w:val="0"/>
        <w:snapToGrid/>
        <w:spacing w:line="560" w:lineRule="exact"/>
        <w:ind w:left="0" w:leftChars="0" w:right="0"/>
        <w:textAlignment w:val="auto"/>
        <w:rPr>
          <w:rFonts w:ascii="楷体_GB2312" w:eastAsia="楷体_GB2312"/>
          <w:sz w:val="28"/>
        </w:rPr>
      </w:pPr>
      <w:r>
        <w:rPr>
          <w:rFonts w:hint="eastAsia" w:ascii="仿宋_GB2312" w:hAnsi="仿宋_GB2312" w:eastAsia="仿宋_GB2312" w:cs="仿宋_GB2312"/>
          <w:spacing w:val="-6"/>
          <w:sz w:val="32"/>
          <w:szCs w:val="32"/>
        </w:rPr>
        <w:t>抄送：区政府督查室</w:t>
      </w:r>
    </w:p>
    <w:p w14:paraId="58A2BB6B">
      <w:pPr>
        <w:keepNext w:val="0"/>
        <w:keepLines w:val="0"/>
        <w:pageBreakBefore w:val="0"/>
        <w:kinsoku/>
        <w:wordWrap/>
        <w:overflowPunct/>
        <w:topLinePunct w:val="0"/>
        <w:bidi w:val="0"/>
        <w:snapToGrid/>
        <w:spacing w:line="560" w:lineRule="exact"/>
        <w:ind w:left="0" w:leftChars="0" w:right="0"/>
        <w:textAlignment w:val="auto"/>
      </w:pPr>
    </w:p>
    <w:p w14:paraId="64D8253B">
      <w:pPr>
        <w:keepNext w:val="0"/>
        <w:keepLines w:val="0"/>
        <w:pageBreakBefore w:val="0"/>
        <w:widowControl w:val="0"/>
        <w:kinsoku/>
        <w:wordWrap/>
        <w:overflowPunct/>
        <w:topLinePunct w:val="0"/>
        <w:autoSpaceDE/>
        <w:autoSpaceDN/>
        <w:bidi w:val="0"/>
        <w:adjustRightInd/>
        <w:snapToGrid/>
        <w:spacing w:line="560" w:lineRule="exact"/>
        <w:ind w:left="0" w:leftChars="0" w:right="0"/>
        <w:jc w:val="both"/>
        <w:textAlignment w:val="auto"/>
        <w:rPr>
          <w:rFonts w:hint="eastAsia" w:ascii="方正小标宋_GBK" w:hAnsi="宋体" w:eastAsia="方正小标宋_GBK"/>
          <w:spacing w:val="-10"/>
          <w:sz w:val="44"/>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1EE62"/>
    <w:multiLevelType w:val="singleLevel"/>
    <w:tmpl w:val="0C21EE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NTA5Y2M1NTAxNmMxODQ1N2NmMTdmZjliOWUyOTMifQ=="/>
  </w:docVars>
  <w:rsids>
    <w:rsidRoot w:val="00000000"/>
    <w:rsid w:val="00052A18"/>
    <w:rsid w:val="00E4507B"/>
    <w:rsid w:val="01483505"/>
    <w:rsid w:val="021858B6"/>
    <w:rsid w:val="021D06BE"/>
    <w:rsid w:val="022F10B4"/>
    <w:rsid w:val="02A8425B"/>
    <w:rsid w:val="02B7449E"/>
    <w:rsid w:val="030D40BE"/>
    <w:rsid w:val="03103BAE"/>
    <w:rsid w:val="031E62CB"/>
    <w:rsid w:val="0328539C"/>
    <w:rsid w:val="033B6E7D"/>
    <w:rsid w:val="0361265C"/>
    <w:rsid w:val="03E70971"/>
    <w:rsid w:val="03FC651E"/>
    <w:rsid w:val="043833BC"/>
    <w:rsid w:val="044572F1"/>
    <w:rsid w:val="044A30F0"/>
    <w:rsid w:val="04BE5FB8"/>
    <w:rsid w:val="04E92909"/>
    <w:rsid w:val="052D36E5"/>
    <w:rsid w:val="05353DA0"/>
    <w:rsid w:val="053D466A"/>
    <w:rsid w:val="054D2E98"/>
    <w:rsid w:val="054E5432"/>
    <w:rsid w:val="057C3EE7"/>
    <w:rsid w:val="059B63FB"/>
    <w:rsid w:val="064F7E90"/>
    <w:rsid w:val="06565D7C"/>
    <w:rsid w:val="065A72EE"/>
    <w:rsid w:val="06EC048E"/>
    <w:rsid w:val="072E009C"/>
    <w:rsid w:val="07797F74"/>
    <w:rsid w:val="07A80859"/>
    <w:rsid w:val="07B23FB7"/>
    <w:rsid w:val="07C6595A"/>
    <w:rsid w:val="07DB0C2F"/>
    <w:rsid w:val="08692164"/>
    <w:rsid w:val="08757916"/>
    <w:rsid w:val="090743B8"/>
    <w:rsid w:val="094054FA"/>
    <w:rsid w:val="097D1C38"/>
    <w:rsid w:val="09E34732"/>
    <w:rsid w:val="09F13633"/>
    <w:rsid w:val="0A300E42"/>
    <w:rsid w:val="0A6F38B0"/>
    <w:rsid w:val="0AE17A23"/>
    <w:rsid w:val="0B291CB1"/>
    <w:rsid w:val="0B470389"/>
    <w:rsid w:val="0B7C6285"/>
    <w:rsid w:val="0B9B5DAC"/>
    <w:rsid w:val="0BF11137"/>
    <w:rsid w:val="0BF57146"/>
    <w:rsid w:val="0CBE28CD"/>
    <w:rsid w:val="0D1F511A"/>
    <w:rsid w:val="0D307327"/>
    <w:rsid w:val="0D3A1F53"/>
    <w:rsid w:val="0D94642F"/>
    <w:rsid w:val="0E0662D9"/>
    <w:rsid w:val="0E625C06"/>
    <w:rsid w:val="0EAC66EA"/>
    <w:rsid w:val="0F274759"/>
    <w:rsid w:val="0F2B6282"/>
    <w:rsid w:val="0F5512C6"/>
    <w:rsid w:val="0F58783C"/>
    <w:rsid w:val="0FAB78D4"/>
    <w:rsid w:val="0FAE6C29"/>
    <w:rsid w:val="10943C53"/>
    <w:rsid w:val="10CC1442"/>
    <w:rsid w:val="1105322F"/>
    <w:rsid w:val="11343285"/>
    <w:rsid w:val="113969C6"/>
    <w:rsid w:val="11691059"/>
    <w:rsid w:val="116E6670"/>
    <w:rsid w:val="117A1762"/>
    <w:rsid w:val="118B0586"/>
    <w:rsid w:val="11DC459B"/>
    <w:rsid w:val="121628D2"/>
    <w:rsid w:val="121C60CC"/>
    <w:rsid w:val="125910CE"/>
    <w:rsid w:val="12E56E05"/>
    <w:rsid w:val="147321EF"/>
    <w:rsid w:val="14A800EA"/>
    <w:rsid w:val="15010D9B"/>
    <w:rsid w:val="15B84750"/>
    <w:rsid w:val="15F7658E"/>
    <w:rsid w:val="161372AD"/>
    <w:rsid w:val="165F63FA"/>
    <w:rsid w:val="1718244C"/>
    <w:rsid w:val="172F3942"/>
    <w:rsid w:val="17D72324"/>
    <w:rsid w:val="17E440FB"/>
    <w:rsid w:val="189F7A56"/>
    <w:rsid w:val="18A9220D"/>
    <w:rsid w:val="18DC65B5"/>
    <w:rsid w:val="19084452"/>
    <w:rsid w:val="19DB4ABE"/>
    <w:rsid w:val="1A1678A4"/>
    <w:rsid w:val="1ACE4623"/>
    <w:rsid w:val="1B876067"/>
    <w:rsid w:val="1B9D7C6F"/>
    <w:rsid w:val="1BE81C65"/>
    <w:rsid w:val="1C136593"/>
    <w:rsid w:val="1C1974D4"/>
    <w:rsid w:val="1CD04682"/>
    <w:rsid w:val="1D282217"/>
    <w:rsid w:val="1D6E4A05"/>
    <w:rsid w:val="1D9E6DC7"/>
    <w:rsid w:val="1DAB47A7"/>
    <w:rsid w:val="1DB25B36"/>
    <w:rsid w:val="1DF24184"/>
    <w:rsid w:val="1E026ABD"/>
    <w:rsid w:val="1E62755C"/>
    <w:rsid w:val="1E7B141E"/>
    <w:rsid w:val="1EC352E4"/>
    <w:rsid w:val="1EE2069D"/>
    <w:rsid w:val="1F095C2A"/>
    <w:rsid w:val="1F264A2D"/>
    <w:rsid w:val="1F6C7E31"/>
    <w:rsid w:val="1FB129D9"/>
    <w:rsid w:val="1FBA360A"/>
    <w:rsid w:val="1FBA5176"/>
    <w:rsid w:val="2160089A"/>
    <w:rsid w:val="21662982"/>
    <w:rsid w:val="22A719E1"/>
    <w:rsid w:val="23556A97"/>
    <w:rsid w:val="23605D4A"/>
    <w:rsid w:val="24206F9A"/>
    <w:rsid w:val="24743B45"/>
    <w:rsid w:val="24CF3471"/>
    <w:rsid w:val="252C08C4"/>
    <w:rsid w:val="25453733"/>
    <w:rsid w:val="26211AAB"/>
    <w:rsid w:val="26D20FF7"/>
    <w:rsid w:val="26FA69C7"/>
    <w:rsid w:val="274C0DA9"/>
    <w:rsid w:val="27B34225"/>
    <w:rsid w:val="289424A6"/>
    <w:rsid w:val="289E73E3"/>
    <w:rsid w:val="28C46838"/>
    <w:rsid w:val="2940493E"/>
    <w:rsid w:val="295126A7"/>
    <w:rsid w:val="295B3526"/>
    <w:rsid w:val="29883BEF"/>
    <w:rsid w:val="29B45034"/>
    <w:rsid w:val="29D532D8"/>
    <w:rsid w:val="29DB251B"/>
    <w:rsid w:val="2A7C19A5"/>
    <w:rsid w:val="2B231E21"/>
    <w:rsid w:val="2C2D47E9"/>
    <w:rsid w:val="2C484235"/>
    <w:rsid w:val="2DEF6CDA"/>
    <w:rsid w:val="2E625EB8"/>
    <w:rsid w:val="2E6F5400"/>
    <w:rsid w:val="2E8400A8"/>
    <w:rsid w:val="2E921785"/>
    <w:rsid w:val="2EC76F67"/>
    <w:rsid w:val="2ED556DC"/>
    <w:rsid w:val="2F0325B3"/>
    <w:rsid w:val="2F1279E5"/>
    <w:rsid w:val="2F580E21"/>
    <w:rsid w:val="2F666780"/>
    <w:rsid w:val="2F733E85"/>
    <w:rsid w:val="2FA55C59"/>
    <w:rsid w:val="2FC616B8"/>
    <w:rsid w:val="2FED0C50"/>
    <w:rsid w:val="31160DD7"/>
    <w:rsid w:val="312608BD"/>
    <w:rsid w:val="315A745C"/>
    <w:rsid w:val="31D10829"/>
    <w:rsid w:val="31F04B2D"/>
    <w:rsid w:val="31F97D80"/>
    <w:rsid w:val="32420B31"/>
    <w:rsid w:val="32827D75"/>
    <w:rsid w:val="32910E8C"/>
    <w:rsid w:val="32E20F6C"/>
    <w:rsid w:val="32F44E2C"/>
    <w:rsid w:val="32F50547"/>
    <w:rsid w:val="33233306"/>
    <w:rsid w:val="332B21BB"/>
    <w:rsid w:val="334B0167"/>
    <w:rsid w:val="3411315F"/>
    <w:rsid w:val="34E742F4"/>
    <w:rsid w:val="34F62354"/>
    <w:rsid w:val="34FA1E45"/>
    <w:rsid w:val="3529333A"/>
    <w:rsid w:val="35D42696"/>
    <w:rsid w:val="3623361D"/>
    <w:rsid w:val="36794FEB"/>
    <w:rsid w:val="374E6ADF"/>
    <w:rsid w:val="37635B02"/>
    <w:rsid w:val="382611A3"/>
    <w:rsid w:val="383C09C6"/>
    <w:rsid w:val="38743CBC"/>
    <w:rsid w:val="38832A1A"/>
    <w:rsid w:val="38B14F10"/>
    <w:rsid w:val="38BB560F"/>
    <w:rsid w:val="390E2362"/>
    <w:rsid w:val="39182A0E"/>
    <w:rsid w:val="394E275F"/>
    <w:rsid w:val="395D0BF4"/>
    <w:rsid w:val="39761035"/>
    <w:rsid w:val="397B107A"/>
    <w:rsid w:val="39C944DB"/>
    <w:rsid w:val="3A173499"/>
    <w:rsid w:val="3AB111F7"/>
    <w:rsid w:val="3B225C51"/>
    <w:rsid w:val="3B3A743F"/>
    <w:rsid w:val="3BC44F5A"/>
    <w:rsid w:val="3BCA3F69"/>
    <w:rsid w:val="3CA562E6"/>
    <w:rsid w:val="3CA6502E"/>
    <w:rsid w:val="3CB52AF5"/>
    <w:rsid w:val="3D1C6BC8"/>
    <w:rsid w:val="3D4A148F"/>
    <w:rsid w:val="3D9B1CEB"/>
    <w:rsid w:val="3DE74F30"/>
    <w:rsid w:val="3E031E84"/>
    <w:rsid w:val="3E057D3E"/>
    <w:rsid w:val="3E491EE2"/>
    <w:rsid w:val="3EBC03E7"/>
    <w:rsid w:val="3ED96F6F"/>
    <w:rsid w:val="3FAC379D"/>
    <w:rsid w:val="3FD41A89"/>
    <w:rsid w:val="40581743"/>
    <w:rsid w:val="409749EB"/>
    <w:rsid w:val="418C098E"/>
    <w:rsid w:val="41BF0462"/>
    <w:rsid w:val="424A4629"/>
    <w:rsid w:val="425D1C65"/>
    <w:rsid w:val="42786A9F"/>
    <w:rsid w:val="42A07329"/>
    <w:rsid w:val="42CB25BB"/>
    <w:rsid w:val="42F51E9D"/>
    <w:rsid w:val="43160791"/>
    <w:rsid w:val="433C187A"/>
    <w:rsid w:val="43486471"/>
    <w:rsid w:val="435A50D9"/>
    <w:rsid w:val="447339C1"/>
    <w:rsid w:val="44760DBC"/>
    <w:rsid w:val="44EE2122"/>
    <w:rsid w:val="45765517"/>
    <w:rsid w:val="458019B5"/>
    <w:rsid w:val="45B264CA"/>
    <w:rsid w:val="45E5444B"/>
    <w:rsid w:val="460B0FFB"/>
    <w:rsid w:val="464F5D68"/>
    <w:rsid w:val="474D6C59"/>
    <w:rsid w:val="47733C13"/>
    <w:rsid w:val="479A6603"/>
    <w:rsid w:val="48531B40"/>
    <w:rsid w:val="485458B8"/>
    <w:rsid w:val="488E0DCA"/>
    <w:rsid w:val="48C127C8"/>
    <w:rsid w:val="48CE566A"/>
    <w:rsid w:val="49687605"/>
    <w:rsid w:val="499F2B63"/>
    <w:rsid w:val="49CD147E"/>
    <w:rsid w:val="4A4718B0"/>
    <w:rsid w:val="4AAC19DB"/>
    <w:rsid w:val="4AC81078"/>
    <w:rsid w:val="4B1732F9"/>
    <w:rsid w:val="4B6422B6"/>
    <w:rsid w:val="4C211F55"/>
    <w:rsid w:val="4CBA03DF"/>
    <w:rsid w:val="4CBF59F6"/>
    <w:rsid w:val="4D1679BA"/>
    <w:rsid w:val="4D6A54DD"/>
    <w:rsid w:val="4DDE00FE"/>
    <w:rsid w:val="4DFA7BDD"/>
    <w:rsid w:val="4E20749A"/>
    <w:rsid w:val="4F6463E1"/>
    <w:rsid w:val="4F9F566B"/>
    <w:rsid w:val="505671DF"/>
    <w:rsid w:val="50E325F7"/>
    <w:rsid w:val="52081BED"/>
    <w:rsid w:val="53132A08"/>
    <w:rsid w:val="53623229"/>
    <w:rsid w:val="53B611D5"/>
    <w:rsid w:val="5473007E"/>
    <w:rsid w:val="54E104D3"/>
    <w:rsid w:val="54E346FD"/>
    <w:rsid w:val="54E81862"/>
    <w:rsid w:val="561D19DF"/>
    <w:rsid w:val="56424FA2"/>
    <w:rsid w:val="56786C15"/>
    <w:rsid w:val="567F11E8"/>
    <w:rsid w:val="56A65531"/>
    <w:rsid w:val="56ED5952"/>
    <w:rsid w:val="57362D58"/>
    <w:rsid w:val="574A6804"/>
    <w:rsid w:val="57580F21"/>
    <w:rsid w:val="575B631B"/>
    <w:rsid w:val="576602A8"/>
    <w:rsid w:val="579E192C"/>
    <w:rsid w:val="57CA34A1"/>
    <w:rsid w:val="58070251"/>
    <w:rsid w:val="581E6A1E"/>
    <w:rsid w:val="5980650D"/>
    <w:rsid w:val="59EC76FE"/>
    <w:rsid w:val="5BC73DEC"/>
    <w:rsid w:val="5C494943"/>
    <w:rsid w:val="5D2C21F2"/>
    <w:rsid w:val="5E062D59"/>
    <w:rsid w:val="5E40270F"/>
    <w:rsid w:val="5F1478DE"/>
    <w:rsid w:val="5F506981"/>
    <w:rsid w:val="5F601C40"/>
    <w:rsid w:val="5FFC0181"/>
    <w:rsid w:val="60251BBC"/>
    <w:rsid w:val="605E262A"/>
    <w:rsid w:val="606A5821"/>
    <w:rsid w:val="609E54CA"/>
    <w:rsid w:val="60CE4002"/>
    <w:rsid w:val="60F63558"/>
    <w:rsid w:val="61CC15E4"/>
    <w:rsid w:val="62606EDB"/>
    <w:rsid w:val="62967221"/>
    <w:rsid w:val="62C51434"/>
    <w:rsid w:val="62EE2739"/>
    <w:rsid w:val="63172382"/>
    <w:rsid w:val="634C3904"/>
    <w:rsid w:val="63CD67F3"/>
    <w:rsid w:val="63FC70D8"/>
    <w:rsid w:val="640C2638"/>
    <w:rsid w:val="641066DF"/>
    <w:rsid w:val="645C1924"/>
    <w:rsid w:val="64CA2D32"/>
    <w:rsid w:val="658D0874"/>
    <w:rsid w:val="65BE090D"/>
    <w:rsid w:val="65FD52EE"/>
    <w:rsid w:val="66806894"/>
    <w:rsid w:val="676A6106"/>
    <w:rsid w:val="679F2254"/>
    <w:rsid w:val="68AD09A1"/>
    <w:rsid w:val="68FC5DB5"/>
    <w:rsid w:val="691B1DAE"/>
    <w:rsid w:val="69EC5934"/>
    <w:rsid w:val="69FA5F63"/>
    <w:rsid w:val="6AAB0F10"/>
    <w:rsid w:val="6AE14931"/>
    <w:rsid w:val="6B945E48"/>
    <w:rsid w:val="6BEC358E"/>
    <w:rsid w:val="6C755C79"/>
    <w:rsid w:val="6C9D0D2C"/>
    <w:rsid w:val="6D1F490A"/>
    <w:rsid w:val="6D8B6DD7"/>
    <w:rsid w:val="6DE85FD7"/>
    <w:rsid w:val="6DF20188"/>
    <w:rsid w:val="6F0137F4"/>
    <w:rsid w:val="6F1E2E65"/>
    <w:rsid w:val="6F22562D"/>
    <w:rsid w:val="6F655B31"/>
    <w:rsid w:val="6FB4119D"/>
    <w:rsid w:val="703F45D4"/>
    <w:rsid w:val="706C1141"/>
    <w:rsid w:val="71155335"/>
    <w:rsid w:val="71D13952"/>
    <w:rsid w:val="727226CC"/>
    <w:rsid w:val="72801A25"/>
    <w:rsid w:val="72AA7EE7"/>
    <w:rsid w:val="72C963D7"/>
    <w:rsid w:val="72D52FCE"/>
    <w:rsid w:val="73931827"/>
    <w:rsid w:val="73C054F7"/>
    <w:rsid w:val="73E84F83"/>
    <w:rsid w:val="74D84FF7"/>
    <w:rsid w:val="74E03EAC"/>
    <w:rsid w:val="74E41BEE"/>
    <w:rsid w:val="752309F5"/>
    <w:rsid w:val="756A04FF"/>
    <w:rsid w:val="75970A0E"/>
    <w:rsid w:val="75A137DC"/>
    <w:rsid w:val="75F419BD"/>
    <w:rsid w:val="76397D18"/>
    <w:rsid w:val="766935D1"/>
    <w:rsid w:val="7671300D"/>
    <w:rsid w:val="76992564"/>
    <w:rsid w:val="769D2054"/>
    <w:rsid w:val="76E47C83"/>
    <w:rsid w:val="771E5E07"/>
    <w:rsid w:val="774E15A1"/>
    <w:rsid w:val="77636B63"/>
    <w:rsid w:val="77CE4490"/>
    <w:rsid w:val="77E8598D"/>
    <w:rsid w:val="7800779E"/>
    <w:rsid w:val="781C169F"/>
    <w:rsid w:val="78601949"/>
    <w:rsid w:val="79116D2A"/>
    <w:rsid w:val="792620AF"/>
    <w:rsid w:val="79440EAD"/>
    <w:rsid w:val="79B24069"/>
    <w:rsid w:val="79C30024"/>
    <w:rsid w:val="79F006ED"/>
    <w:rsid w:val="7A13262E"/>
    <w:rsid w:val="7A440A39"/>
    <w:rsid w:val="7A4F66AE"/>
    <w:rsid w:val="7A834FD6"/>
    <w:rsid w:val="7B2B6AE3"/>
    <w:rsid w:val="7B5F1FCE"/>
    <w:rsid w:val="7B6770D5"/>
    <w:rsid w:val="7C3421E4"/>
    <w:rsid w:val="7C484810"/>
    <w:rsid w:val="7C5238E1"/>
    <w:rsid w:val="7CA07501"/>
    <w:rsid w:val="7D0A2C7A"/>
    <w:rsid w:val="7DD00F61"/>
    <w:rsid w:val="7E0740D3"/>
    <w:rsid w:val="7E867872"/>
    <w:rsid w:val="7EA128FE"/>
    <w:rsid w:val="7EC33D20"/>
    <w:rsid w:val="7EC34622"/>
    <w:rsid w:val="7F0C2BFC"/>
    <w:rsid w:val="7F6A0A50"/>
    <w:rsid w:val="7F7160D4"/>
    <w:rsid w:val="7FD8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9"/>
    <w:pPr>
      <w:keepNext/>
      <w:keepLines/>
      <w:spacing w:after="404"/>
      <w:ind w:right="29"/>
      <w:jc w:val="right"/>
      <w:outlineLvl w:val="1"/>
    </w:pPr>
    <w:rPr>
      <w:kern w:val="0"/>
      <w:sz w:val="32"/>
      <w:szCs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99"/>
    <w:pPr>
      <w:spacing w:after="120" w:line="480" w:lineRule="auto"/>
    </w:pPr>
  </w:style>
  <w:style w:type="paragraph" w:styleId="5">
    <w:name w:val="Date"/>
    <w:basedOn w:val="1"/>
    <w:next w:val="1"/>
    <w:semiHidden/>
    <w:qFormat/>
    <w:uiPriority w:val="0"/>
    <w:rPr>
      <w:sz w:val="32"/>
      <w:szCs w:val="20"/>
    </w:rPr>
  </w:style>
  <w:style w:type="paragraph" w:styleId="6">
    <w:name w:val="toc 1"/>
    <w:basedOn w:val="1"/>
    <w:next w:val="1"/>
    <w:unhideWhenUsed/>
    <w:qFormat/>
    <w:uiPriority w:val="39"/>
    <w:rPr>
      <w:sz w:val="24"/>
      <w:szCs w:val="24"/>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12">
    <w:name w:val="List Paragraph"/>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4984</Words>
  <Characters>5136</Characters>
  <Lines>0</Lines>
  <Paragraphs>0</Paragraphs>
  <TotalTime>17</TotalTime>
  <ScaleCrop>false</ScaleCrop>
  <LinksUpToDate>false</LinksUpToDate>
  <CharactersWithSpaces>5459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2025-03-04T02:14:00Z</dcterms:created>
  <dc:creator>Administrator</dc:creator>
  <cp:lastModifiedBy>Administrator</cp:lastModifiedBy>
  <dcterms:modified xsi:type="dcterms:W3CDTF">2025-03-24T03:09:26Z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8D3D079B468740BE87A684040B720571_12</vt:lpwstr>
  </property>
</Properties>
</file>